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60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446"/>
        <w:gridCol w:w="1419"/>
        <w:gridCol w:w="1360"/>
        <w:gridCol w:w="1861"/>
      </w:tblGrid>
      <w:tr w:rsidR="00852B92" w14:paraId="367EAB9E" w14:textId="77777777" w:rsidTr="00852B92">
        <w:trPr>
          <w:trHeight w:val="584"/>
        </w:trPr>
        <w:tc>
          <w:tcPr>
            <w:tcW w:w="22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F5832FC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  <w:p w14:paraId="75A8F52A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6DD243C4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Sustainable Water Management</w:t>
            </w:r>
          </w:p>
        </w:tc>
      </w:tr>
      <w:tr w:rsidR="00852B92" w14:paraId="0AE2B72B" w14:textId="77777777" w:rsidTr="00852B92">
        <w:trPr>
          <w:trHeight w:hRule="exact" w:val="288"/>
        </w:trPr>
        <w:tc>
          <w:tcPr>
            <w:tcW w:w="22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48A9827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FBDC25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  <w:p w14:paraId="30395853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FE3CAC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6A6821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3298512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852B92" w14:paraId="7122C694" w14:textId="77777777" w:rsidTr="00852B92">
        <w:trPr>
          <w:trHeight w:hRule="exact" w:val="276"/>
        </w:trPr>
        <w:tc>
          <w:tcPr>
            <w:tcW w:w="22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99A5DE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7D06CC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         O</w:t>
            </w:r>
          </w:p>
          <w:p w14:paraId="3A7A8F16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AD003B4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   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92AD985" w14:textId="77777777" w:rsidR="00852B92" w:rsidRDefault="00852B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BE7A7F2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/</w:t>
            </w:r>
          </w:p>
        </w:tc>
      </w:tr>
      <w:tr w:rsidR="00852B92" w14:paraId="6EDDE05F" w14:textId="77777777" w:rsidTr="00852B92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290989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5FAAA7" w14:textId="77777777" w:rsidR="00852B92" w:rsidRDefault="008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The purpose of this course is to develop students' understanding of the role of water in economic development and for environmental and social well-being, as well as to develop knowledge and managerial skills that will enable them to take an active role in the management of water resources. At the national and international levels.</w:t>
            </w:r>
          </w:p>
          <w:p w14:paraId="5C22B95C" w14:textId="77777777" w:rsidR="00852B92" w:rsidRDefault="008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The main objectives of the program on this subject are:</w:t>
            </w:r>
          </w:p>
          <w:p w14:paraId="3B2DDF74" w14:textId="77777777" w:rsidR="00852B92" w:rsidRDefault="00852B92" w:rsidP="00671C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familiarity with the problem of water pollution and ways of sustainable management of this resource</w:t>
            </w:r>
          </w:p>
          <w:p w14:paraId="69E24798" w14:textId="77777777" w:rsidR="00852B92" w:rsidRDefault="00852B92" w:rsidP="00671C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the recognition and importance of integrated management of water resources, with a focus on the Management of Basins (basins) of rivers in accordance with the Framework Directive for European waters, as well as with the Monitoring and evaluation of water resources.</w:t>
            </w:r>
          </w:p>
          <w:p w14:paraId="28E185FC" w14:textId="77777777" w:rsidR="00852B92" w:rsidRDefault="00852B92" w:rsidP="00671C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Knowledge of flood management, irrigation water use, the water cycle and the impact of climate change on aquatic ecosystems.</w:t>
            </w:r>
          </w:p>
        </w:tc>
      </w:tr>
      <w:tr w:rsidR="00852B92" w14:paraId="53D558ED" w14:textId="77777777" w:rsidTr="00852B92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F595D2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881761F" w14:textId="77777777" w:rsidR="00852B92" w:rsidRDefault="00852B92">
            <w:pPr>
              <w:pStyle w:val="BodyText"/>
              <w:tabs>
                <w:tab w:val="num" w:pos="450"/>
                <w:tab w:val="num" w:pos="900"/>
              </w:tabs>
              <w:ind w:left="360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After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completing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this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course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students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will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be </w:t>
            </w:r>
            <w:proofErr w:type="spellStart"/>
            <w:r>
              <w:rPr>
                <w:sz w:val="20"/>
                <w:szCs w:val="20"/>
                <w:lang w:val="sq-AL"/>
              </w:rPr>
              <w:t>able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to:</w:t>
            </w:r>
          </w:p>
          <w:p w14:paraId="199D857D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Understand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sz w:val="20"/>
                <w:szCs w:val="20"/>
                <w:lang w:val="sq-AL"/>
              </w:rPr>
              <w:t>importance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water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its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circulation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cycle</w:t>
            </w:r>
            <w:proofErr w:type="spellEnd"/>
          </w:p>
          <w:p w14:paraId="4B16DA8F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Have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sq-AL"/>
              </w:rPr>
              <w:t>satisfactory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understanding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Integrated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Water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Resources </w:t>
            </w:r>
            <w:proofErr w:type="spellStart"/>
            <w:r>
              <w:rPr>
                <w:sz w:val="20"/>
                <w:szCs w:val="20"/>
                <w:lang w:val="sq-AL"/>
              </w:rPr>
              <w:t>Management</w:t>
            </w:r>
            <w:proofErr w:type="spellEnd"/>
          </w:p>
          <w:p w14:paraId="46CB8B19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Analyze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sz w:val="20"/>
                <w:szCs w:val="20"/>
                <w:lang w:val="sq-AL"/>
              </w:rPr>
              <w:t>management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phases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Water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Basins</w:t>
            </w:r>
            <w:proofErr w:type="spellEnd"/>
          </w:p>
          <w:p w14:paraId="09A40E2F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Develop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sq-AL"/>
              </w:rPr>
              <w:t>watershed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management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plan in </w:t>
            </w:r>
            <w:proofErr w:type="spellStart"/>
            <w:r>
              <w:rPr>
                <w:sz w:val="20"/>
                <w:szCs w:val="20"/>
                <w:lang w:val="sq-AL"/>
              </w:rPr>
              <w:t>accordance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with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the DEU</w:t>
            </w:r>
          </w:p>
          <w:p w14:paraId="75C0DB37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Classify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water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quality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based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on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morphological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Physico-chemical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biological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quality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parameters</w:t>
            </w:r>
            <w:proofErr w:type="spellEnd"/>
          </w:p>
          <w:p w14:paraId="02A6CB63" w14:textId="77777777" w:rsidR="00852B92" w:rsidRDefault="00852B92" w:rsidP="00671CDD">
            <w:pPr>
              <w:pStyle w:val="BodyText"/>
              <w:numPr>
                <w:ilvl w:val="0"/>
                <w:numId w:val="2"/>
              </w:numPr>
              <w:tabs>
                <w:tab w:val="num" w:pos="900"/>
              </w:tabs>
              <w:spacing w:after="0"/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Analyze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sz w:val="20"/>
                <w:szCs w:val="20"/>
                <w:lang w:val="sq-AL"/>
              </w:rPr>
              <w:t>impact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land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use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climate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change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on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water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resources</w:t>
            </w:r>
            <w:proofErr w:type="spellEnd"/>
          </w:p>
        </w:tc>
      </w:tr>
      <w:tr w:rsidR="00852B92" w14:paraId="754DDB47" w14:textId="77777777" w:rsidTr="00852B92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AC14C46" w14:textId="77777777" w:rsidR="00852B92" w:rsidRDefault="0085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7F18C" w14:textId="77777777" w:rsidR="00852B92" w:rsidRDefault="00852B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1A52B6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Ziglio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G., Flaim, G., &amp;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Siligardi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M. (Eds.). (2008).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Biological monitoring of rivers: applications and perspectives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John Wiley &amp; Sons. </w:t>
            </w:r>
          </w:p>
          <w:p w14:paraId="30E3FB91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 Water Framework Directive 2000/60/EC</w:t>
            </w:r>
          </w:p>
          <w:p w14:paraId="3536AF6F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Jackson, M. C., Weyl, O. L. F., Altermatt, F., Durance, I., Friberg, N.,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Dumbrell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A. J., &amp; Woodward, G. (2016). Recommendations for the next generation of global freshwater biological monitoring tools.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Advances in ecological research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(Vol. 55, pp. 615-636). Academic Press.</w:t>
            </w:r>
          </w:p>
          <w:p w14:paraId="0DF5134A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Bytyçi P, Shala-Abazi 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Zhushi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-Etemi F, Bonifazi G, Hyseni-Spahiu 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Çadraku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F. 2022. The Macrophyte Indices for Rivers to Assess the Ecological Conditions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River in the Republic of Kosovo. Plants. 2022; 11(11):1469.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https://doi.org/10.3390/plants11111469</w:t>
              </w:r>
            </w:hyperlink>
          </w:p>
          <w:p w14:paraId="0DF1A8D2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Pajtim Bytyqi, Marton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Shala-Abazi,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Murtezan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Ismaili, Mimoza Hyseni-Spahiu,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Ymeri, Edona Kabashi-Kastrati, Fadil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(2020): Macrophytes as biological indicators of organic pollution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river basin in Kosovo. Journal of Freshwater Ecology. 35:1, 105-121, DOI: 10.1080/02705060.2020.1745913</w:t>
            </w:r>
          </w:p>
          <w:p w14:paraId="0AE636D7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Ferdije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Zhushi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Etemi, Pajtim Bytyçi,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Murtezan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Ismaili,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Ymeri,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Shala–Abazi,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Muja-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Bajraktari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(2020): The use of Macroinvertebrate based biotic indices and diversity indices to evaluate the water quality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river basin in Kosovo. Journal of Environmental Science and Health, Part A 3 Toxic/Hazardous Substances and Environmental Engineering. 55 (6),748-758(2020).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https://doi.org/10.1080/10934529.2020.1738172</w:t>
              </w:r>
            </w:hyperlink>
          </w:p>
          <w:p w14:paraId="3CD29293" w14:textId="77777777" w:rsidR="00852B92" w:rsidRDefault="00852B92" w:rsidP="00671C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Bytyçi P, Ymeri 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M, et al. 2019. The Application of Benthic Diatoms in Water Quality Assessment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River Basin, Kosovo.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Journal of Ecological Engineering. 20(11), 43-57. doi:10.12911/22998993/113409.</w:t>
            </w:r>
          </w:p>
        </w:tc>
      </w:tr>
    </w:tbl>
    <w:p w14:paraId="4B417153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93A4C"/>
    <w:multiLevelType w:val="hybridMultilevel"/>
    <w:tmpl w:val="598CD402"/>
    <w:lvl w:ilvl="0" w:tplc="B4F6C3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5FB"/>
    <w:multiLevelType w:val="hybridMultilevel"/>
    <w:tmpl w:val="91248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6445A"/>
    <w:multiLevelType w:val="hybridMultilevel"/>
    <w:tmpl w:val="DD42C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599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77240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61468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2"/>
    <w:rsid w:val="002F71EA"/>
    <w:rsid w:val="00852B92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C339"/>
  <w15:chartTrackingRefBased/>
  <w15:docId w15:val="{C99C6D0D-E11B-417E-B228-DF252F3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92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9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52B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2B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aliases w:val="Litertatu ne tab"/>
    <w:basedOn w:val="Normal"/>
    <w:uiPriority w:val="34"/>
    <w:qFormat/>
    <w:rsid w:val="00852B92"/>
    <w:pPr>
      <w:ind w:left="720"/>
      <w:contextualSpacing/>
    </w:pPr>
  </w:style>
  <w:style w:type="paragraph" w:customStyle="1" w:styleId="Default">
    <w:name w:val="Default"/>
    <w:rsid w:val="00852B92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852B92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0934529.2020.1738172" TargetMode="External"/><Relationship Id="rId5" Type="http://schemas.openxmlformats.org/officeDocument/2006/relationships/hyperlink" Target="https://doi.org/10.3390/plants11111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2024-06-18T10:18:00Z</dcterms:created>
  <dcterms:modified xsi:type="dcterms:W3CDTF">2024-06-18T10:18:00Z</dcterms:modified>
</cp:coreProperties>
</file>