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2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1"/>
        <w:gridCol w:w="2902"/>
        <w:gridCol w:w="1248"/>
        <w:gridCol w:w="1346"/>
        <w:gridCol w:w="2248"/>
      </w:tblGrid>
      <w:tr w:rsidR="00C17623" w:rsidRPr="0048062E" w14:paraId="341F61A3" w14:textId="77777777" w:rsidTr="00671CDD">
        <w:trPr>
          <w:trHeight w:val="584"/>
        </w:trPr>
        <w:tc>
          <w:tcPr>
            <w:tcW w:w="188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4821B422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50085BBC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BB41DE6" w14:textId="77777777" w:rsidR="00C17623" w:rsidRPr="007415EF" w:rsidRDefault="00C17623" w:rsidP="00671CDD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7415E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sq-AL"/>
              </w:rPr>
              <w:t>Parimet për ndryshimet klimatike</w:t>
            </w:r>
          </w:p>
          <w:p w14:paraId="77EC0241" w14:textId="77777777" w:rsidR="00C17623" w:rsidRPr="007415EF" w:rsidRDefault="00C17623" w:rsidP="00671C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17623" w:rsidRPr="0048062E" w14:paraId="6C3F9FAB" w14:textId="77777777" w:rsidTr="00671CDD">
        <w:trPr>
          <w:trHeight w:hRule="exact" w:val="288"/>
        </w:trPr>
        <w:tc>
          <w:tcPr>
            <w:tcW w:w="188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2F184F4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865D34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BB2888E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2D8262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EFB86E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830ABD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C17623" w:rsidRPr="0048062E" w14:paraId="6750C986" w14:textId="77777777" w:rsidTr="00671CDD">
        <w:trPr>
          <w:trHeight w:hRule="exact" w:val="276"/>
        </w:trPr>
        <w:tc>
          <w:tcPr>
            <w:tcW w:w="188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5FDD4700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6F9A9C9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F3553D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1A0176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B71943" w14:textId="77777777" w:rsidR="00C17623" w:rsidRPr="007415EF" w:rsidRDefault="00C17623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623" w:rsidRPr="0048062E" w14:paraId="2786342C" w14:textId="77777777" w:rsidTr="00671CDD">
        <w:tc>
          <w:tcPr>
            <w:tcW w:w="18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214FFDA3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74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21588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ushqimit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komplekse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përhapura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ndryshueshme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pikëpamja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hapësinore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kohore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Ky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ofron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përmbledhje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ardhshme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antropogjene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ushqimit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Gjysma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fokusohet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mesime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kaluara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dëshmi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të 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njerëzor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ashtu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ardhmja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pasojat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ekonomike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ekologjike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Kursi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ofron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njohuri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mënyrën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ajo ka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gjithë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planetin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tone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përgjatë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4C0C889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Gjysma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ë do të fokusohet në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skenarët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ardhshëm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ushqimit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zbutëse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përdorura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reduktuar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negative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shkaktuara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22DA3093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623" w:rsidRPr="0048062E" w14:paraId="63705275" w14:textId="77777777" w:rsidTr="00671CDD">
        <w:trPr>
          <w:trHeight w:val="1799"/>
        </w:trPr>
        <w:tc>
          <w:tcPr>
            <w:tcW w:w="18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628C3B5F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74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9EFA" w14:textId="77777777" w:rsidR="00C17623" w:rsidRPr="007415EF" w:rsidRDefault="00C17623" w:rsidP="00671C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përfundim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programit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14:paraId="69B5B323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A62924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Dalloj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cilët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faktorë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këtë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sigurt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3854BB4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Efektet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aktivitetit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njerëzor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BB61B85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Njohuri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ardhshëme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cilësinë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jetës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njerëzve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44AA311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njohuri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detajuara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gazrat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serre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menyrën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këto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gazra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potencial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ngrojen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glonale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E5EB6A4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Shpjegoj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shkaqet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tendencat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antropogjene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lidhje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ushqimin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shkallë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29187E6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Përshkruaj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vlerësoni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shembuj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zbutëse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përshtatëse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sigurin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ushqimore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4173F9F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bujqësisë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ushqimit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jep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dhëna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rekomandime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rritur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elasticitetin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ndaj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zvogëlimin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e</w:t>
            </w:r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GS.</w:t>
            </w:r>
          </w:p>
          <w:p w14:paraId="4AF09206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çfarë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mund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bëjmë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zbutur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ardhshme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t'u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përshtatur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jetën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tjetër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A1ED32A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Nihet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me</w:t>
            </w:r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përpjekjet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objektivat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komunitetit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ndërkomtar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t'iu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përgjigjur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B97A3B6" w14:textId="77777777" w:rsidR="00C17623" w:rsidRPr="007415EF" w:rsidRDefault="00C1762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623" w:rsidRPr="00C17623" w14:paraId="7B3FD4BF" w14:textId="77777777" w:rsidTr="00671CDD">
        <w:tc>
          <w:tcPr>
            <w:tcW w:w="18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67184E6F" w14:textId="77777777" w:rsidR="00C17623" w:rsidRPr="007415EF" w:rsidRDefault="00C1762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Literatura</w:t>
            </w:r>
            <w:proofErr w:type="spellEnd"/>
          </w:p>
        </w:tc>
        <w:tc>
          <w:tcPr>
            <w:tcW w:w="7744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5E2CD" w14:textId="77777777" w:rsidR="00C17623" w:rsidRPr="007415EF" w:rsidRDefault="00C17623" w:rsidP="00C17623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• David Archer, Global Warming: Understanding the Forecast, 2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ed. (Wiley, 2011; ISBN 978-0-470-94341-0). Be sure you get the second edition because it is significantly different from the first. </w:t>
            </w:r>
          </w:p>
          <w:p w14:paraId="6D5A8A38" w14:textId="77777777" w:rsidR="00C17623" w:rsidRPr="007415EF" w:rsidRDefault="00C17623" w:rsidP="00C17623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• William Nordhaus, The Climate Casino: Risk, Uncertainty, and Economics for a Warming World (Yale, 2013; ISBN 978-0-300-21264-8) • Roger A. Pielke, Jr., The Climate Fix (Basic Books, 2010; ISBN 978-0-465-02519-0)</w:t>
            </w:r>
          </w:p>
          <w:p w14:paraId="45756594" w14:textId="77777777" w:rsidR="00C17623" w:rsidRPr="007415EF" w:rsidRDefault="00C17623" w:rsidP="00C17623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Allen B.J., Bourke R.M. and Hide R.L. (1995). The sustainability of Papua New Guinea agricultural systems: the conceptual background. Global Environmental Change, 5(4): 297-312.</w:t>
            </w:r>
          </w:p>
          <w:p w14:paraId="43C6B382" w14:textId="77777777" w:rsidR="00C17623" w:rsidRPr="007415EF" w:rsidRDefault="00C17623" w:rsidP="00C17623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Dale B. (2020). Alliances for agroecology: from climate change to food system change. Agroecology and Sustainable Food Systems, 44: 629-652.</w:t>
            </w:r>
          </w:p>
          <w:p w14:paraId="38E16CC6" w14:textId="77777777" w:rsidR="00C17623" w:rsidRPr="007415EF" w:rsidRDefault="00C17623" w:rsidP="00C17623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Diacono M., Fiore A., Farina R., Canali S., di Bene D., Testani E. and Montemurro F. (2016). Combined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agri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-ecological strategies for adaptation of organic horticultural systems to climate change in Mediterranean environment. Italian Journal of Agronomy, 11: 85-91.</w:t>
            </w:r>
          </w:p>
          <w:p w14:paraId="3B16CD02" w14:textId="77777777" w:rsidR="00C17623" w:rsidRPr="007415EF" w:rsidRDefault="00C17623" w:rsidP="00C176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Kërko/mëso më shumë në internet për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Green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Climate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Fund dhe projektet që lidhen me tuajin</w:t>
            </w:r>
          </w:p>
          <w:p w14:paraId="74C3A0D6" w14:textId="77777777" w:rsidR="00C17623" w:rsidRPr="007415EF" w:rsidRDefault="00C17623" w:rsidP="00C17623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vendi i origjinës.</w:t>
            </w:r>
          </w:p>
          <w:p w14:paraId="0FFE2D27" w14:textId="77777777" w:rsidR="00C17623" w:rsidRPr="007415EF" w:rsidRDefault="00C17623" w:rsidP="00C176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Kërko/mëso më shumë në ueb rreth Veprimeve të Përshtatshme Kombëtare Zbutëse (NAMA)/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National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Appropriate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Mitigation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dhe tema të lidhura.</w:t>
            </w:r>
          </w:p>
          <w:p w14:paraId="2516EAF1" w14:textId="77777777" w:rsidR="00C17623" w:rsidRPr="00C17623" w:rsidRDefault="00C17623" w:rsidP="00671CDD">
            <w:pPr>
              <w:ind w:left="39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7BDFC5EF" w14:textId="77777777" w:rsidR="002F71EA" w:rsidRPr="00C17623" w:rsidRDefault="002F71EA">
      <w:pPr>
        <w:rPr>
          <w:lang w:val="sq-AL"/>
        </w:rPr>
      </w:pPr>
    </w:p>
    <w:sectPr w:rsidR="002F71EA" w:rsidRPr="00C1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93A4C"/>
    <w:multiLevelType w:val="hybridMultilevel"/>
    <w:tmpl w:val="598CD402"/>
    <w:lvl w:ilvl="0" w:tplc="B4F6C3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28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23"/>
    <w:rsid w:val="002F71EA"/>
    <w:rsid w:val="00A220E4"/>
    <w:rsid w:val="00C17623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EA12"/>
  <w15:chartTrackingRefBased/>
  <w15:docId w15:val="{63E327A7-DB49-48B1-9BF3-77F165E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2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623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62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2024-06-18T10:09:00Z</dcterms:created>
  <dcterms:modified xsi:type="dcterms:W3CDTF">2024-06-18T10:09:00Z</dcterms:modified>
</cp:coreProperties>
</file>