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3B9D6" w14:textId="77777777" w:rsidR="00A425B1" w:rsidRDefault="00A425B1" w:rsidP="00A425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62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15"/>
        <w:gridCol w:w="2865"/>
        <w:gridCol w:w="1263"/>
        <w:gridCol w:w="1342"/>
        <w:gridCol w:w="2240"/>
      </w:tblGrid>
      <w:tr w:rsidR="00A425B1" w:rsidRPr="007415EF" w14:paraId="5DB26F65" w14:textId="77777777" w:rsidTr="00671CDD">
        <w:trPr>
          <w:trHeight w:val="584"/>
        </w:trPr>
        <w:tc>
          <w:tcPr>
            <w:tcW w:w="191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006D430D" w14:textId="77777777" w:rsidR="00A425B1" w:rsidRPr="007415EF" w:rsidRDefault="00A425B1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q-AL"/>
              </w:rPr>
            </w:pPr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q-AL"/>
              </w:rPr>
              <w:t>Lënda</w:t>
            </w:r>
          </w:p>
          <w:p w14:paraId="7AB20A4F" w14:textId="77777777" w:rsidR="00A425B1" w:rsidRPr="007415EF" w:rsidRDefault="00A425B1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771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B426892" w14:textId="77777777" w:rsidR="00A425B1" w:rsidRPr="007415EF" w:rsidRDefault="00A425B1" w:rsidP="00671C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7415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Kultivimi i kërpudhave</w:t>
            </w:r>
          </w:p>
        </w:tc>
      </w:tr>
      <w:tr w:rsidR="00A425B1" w:rsidRPr="007415EF" w14:paraId="5D8CB8DB" w14:textId="77777777" w:rsidTr="00671CDD">
        <w:trPr>
          <w:trHeight w:hRule="exact" w:val="288"/>
        </w:trPr>
        <w:tc>
          <w:tcPr>
            <w:tcW w:w="1915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21686509" w14:textId="77777777" w:rsidR="00A425B1" w:rsidRPr="007415EF" w:rsidRDefault="00A425B1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F8E0F6" w14:textId="77777777" w:rsidR="00A425B1" w:rsidRPr="007415EF" w:rsidRDefault="00A425B1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Llojj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  <w:p w14:paraId="32DB1D47" w14:textId="77777777" w:rsidR="00A425B1" w:rsidRPr="007415EF" w:rsidRDefault="00A425B1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FEF374" w14:textId="77777777" w:rsidR="00A425B1" w:rsidRPr="007415EF" w:rsidRDefault="00A425B1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Semestri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CE67A2" w14:textId="77777777" w:rsidR="00A425B1" w:rsidRPr="007415EF" w:rsidRDefault="00A425B1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ECTS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66A7810" w14:textId="77777777" w:rsidR="00A425B1" w:rsidRPr="007415EF" w:rsidRDefault="00A425B1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Kodi</w:t>
            </w:r>
          </w:p>
        </w:tc>
      </w:tr>
      <w:tr w:rsidR="00A425B1" w:rsidRPr="007415EF" w14:paraId="77312A19" w14:textId="77777777" w:rsidTr="00671CDD">
        <w:trPr>
          <w:trHeight w:hRule="exact" w:val="276"/>
        </w:trPr>
        <w:tc>
          <w:tcPr>
            <w:tcW w:w="1915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7A9C887D" w14:textId="77777777" w:rsidR="00A425B1" w:rsidRPr="007415EF" w:rsidRDefault="00A425B1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22D28EE" w14:textId="77777777" w:rsidR="00A425B1" w:rsidRPr="007415EF" w:rsidRDefault="00A425B1" w:rsidP="00671CDD">
            <w:pPr>
              <w:jc w:val="center"/>
              <w:rPr>
                <w:rFonts w:ascii="Times New Roman" w:eastAsia="Arial" w:hAnsi="Times New Roman" w:cs="Times New Roman"/>
                <w:color w:val="404040"/>
                <w:sz w:val="20"/>
                <w:szCs w:val="20"/>
                <w:lang w:val="sq-AL"/>
              </w:rPr>
            </w:pPr>
            <w:r w:rsidRPr="007415EF">
              <w:rPr>
                <w:rFonts w:ascii="Times New Roman" w:eastAsia="Arial" w:hAnsi="Times New Roman" w:cs="Times New Roman"/>
                <w:color w:val="404040"/>
                <w:sz w:val="20"/>
                <w:szCs w:val="20"/>
                <w:lang w:val="sq-AL"/>
              </w:rPr>
              <w:t xml:space="preserve"> (Z)</w:t>
            </w:r>
          </w:p>
          <w:p w14:paraId="798826AC" w14:textId="77777777" w:rsidR="00A425B1" w:rsidRPr="007415EF" w:rsidRDefault="00A425B1" w:rsidP="00671C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408A1E" w14:textId="77777777" w:rsidR="00A425B1" w:rsidRPr="007415EF" w:rsidRDefault="00A425B1" w:rsidP="00671C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        III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1FFA800" w14:textId="77777777" w:rsidR="00A425B1" w:rsidRPr="007415EF" w:rsidRDefault="00A425B1" w:rsidP="00671C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          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DCA84B" w14:textId="77777777" w:rsidR="00A425B1" w:rsidRPr="007415EF" w:rsidRDefault="00A425B1" w:rsidP="00671C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A425B1" w:rsidRPr="00A043AE" w14:paraId="54D11145" w14:textId="77777777" w:rsidTr="00671CDD">
        <w:trPr>
          <w:trHeight w:val="2942"/>
        </w:trPr>
        <w:tc>
          <w:tcPr>
            <w:tcW w:w="19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1" w:themeFillTint="33"/>
            <w:vAlign w:val="center"/>
          </w:tcPr>
          <w:p w14:paraId="342904A8" w14:textId="77777777" w:rsidR="00A425B1" w:rsidRPr="007415EF" w:rsidRDefault="00A425B1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q-AL"/>
              </w:rPr>
            </w:pPr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q-AL"/>
              </w:rPr>
              <w:t>Qëllimet dhe objektivat</w:t>
            </w:r>
          </w:p>
        </w:tc>
        <w:tc>
          <w:tcPr>
            <w:tcW w:w="771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A47960" w14:textId="77777777" w:rsidR="00A425B1" w:rsidRPr="007415EF" w:rsidRDefault="00A425B1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Qëllimi dhe objektivat e këtij kursi është t'u ofrojë studentëve njohuri për botën e kërpudhave dhe kultivimin e tyre komercial. Kultivimi i kërpudhave është një fushë e rëndësishme e punës, duke përfshirë prodhimin e ushqimit, teknologjinë e përpunimit, farmaceutikën dhe mbrojtjen e mjedisit. Për këtë arsye, është e rëndësishme t'i prezantojmë studentët se çfarë janë kërpudhat si ushqim dhe si të prodhohen kërpudha si për ushqim fitimprurës ashtu edhe për transformimin e lëndës organike. Sot në botë prodhohen miliona tonë kërpudha të ndryshme, të cilat përpunohen, ruhen ose përdoren si përbërës në përpunimin e mishit,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premikse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dhe prodhimin e ushqimeve të ndryshme të gatshme. Për të plotësuar njohuritë për kultivimin e kërpudhave, studentët duhet të njihen me morfologjinë e kërpudhave, sistematikën, metodat e kultivimit, miceli si material mbjellës për kërpudhat dhe kushtet e ruajtjes së micelit për të zgjatur jetëgjatësinë e materialit mbjellës. Gjithashtu,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qështjet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si njohurit rreth sëmundjeve që mund të paraqiten gjatë kultivimit të kërpudhave, ndikimit ne ambient si dhe vlerave ushqyese dhe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mjeksore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të tyre do të diskutohen kah fundi i kësaj lënde. </w:t>
            </w:r>
          </w:p>
        </w:tc>
      </w:tr>
      <w:tr w:rsidR="00A425B1" w:rsidRPr="00A043AE" w14:paraId="4FF434EF" w14:textId="77777777" w:rsidTr="00671CDD">
        <w:trPr>
          <w:trHeight w:val="1799"/>
        </w:trPr>
        <w:tc>
          <w:tcPr>
            <w:tcW w:w="19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1" w:themeFillTint="33"/>
            <w:vAlign w:val="center"/>
          </w:tcPr>
          <w:p w14:paraId="73906326" w14:textId="77777777" w:rsidR="00A425B1" w:rsidRPr="007415EF" w:rsidRDefault="00A425B1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q-AL"/>
              </w:rPr>
            </w:pPr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q-AL"/>
              </w:rPr>
              <w:t>Rezultatet e pritshme</w:t>
            </w:r>
          </w:p>
        </w:tc>
        <w:tc>
          <w:tcPr>
            <w:tcW w:w="771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3895E7" w14:textId="77777777" w:rsidR="00A425B1" w:rsidRPr="007415EF" w:rsidRDefault="00A425B1" w:rsidP="00671CD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Kërpudhat - konceptet bazë që lidhen me kërpudhat, mënyrën e tyre të jetesës dhe të ushqyerit, morfologjinë e kërpudhave, rritjen riprodhuese të qelizave kërpudhore, citoplazmën, organelet dhe rritjen e miceli, sistematika e kërpudhave - klasifikimi i kërpudhave dhe roli i tyre në agronomi dhe mjedis, rëndësia e kërpudhave për ushqimin dhe mbrojtjen e mjedisit, metodat e prodhimit dhe kultivimit të kërpudhave, pas vjeljes dhe parimet e ruajtjes së kërpudhave.</w:t>
            </w:r>
          </w:p>
          <w:p w14:paraId="66DB8460" w14:textId="77777777" w:rsidR="00A425B1" w:rsidRPr="007415EF" w:rsidRDefault="00A425B1" w:rsidP="00671CD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0E723F54" w14:textId="77777777" w:rsidR="00A425B1" w:rsidRPr="007415EF" w:rsidRDefault="00A425B1" w:rsidP="00671CD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Studentët në fund të këtij kursi duhet të fitojnë njohuri bazë për rëndësinë e kërpudhave dhe vlerat e tyre ushqyese dhe kurative. Ata duhet të kenë njohuri bazë për metodat e kultivimit dhe kultivimit, kushtet dhe kërkesat për rritje dhe zhvillim. Studentët gjatë punës laboratorike duhet të përvetësojnë metodat e shumimit dhe inokulimin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substratit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me miceli. Vizitat në fermat e kultivimit të kërpudhave do të jenë në interes për të arritur njohuritë e studentëve në menaxhimin e fermave të kërpudhave dhe aktivitetet pas vjeljes.</w:t>
            </w:r>
          </w:p>
        </w:tc>
      </w:tr>
      <w:tr w:rsidR="00A425B1" w:rsidRPr="007415EF" w14:paraId="4D8D9725" w14:textId="77777777" w:rsidTr="00671CDD">
        <w:tc>
          <w:tcPr>
            <w:tcW w:w="19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1" w:themeFillTint="33"/>
            <w:vAlign w:val="center"/>
          </w:tcPr>
          <w:p w14:paraId="669F903C" w14:textId="77777777" w:rsidR="00A425B1" w:rsidRPr="007415EF" w:rsidRDefault="00A425B1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q-AL"/>
              </w:rPr>
            </w:pPr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q-AL"/>
              </w:rPr>
              <w:t>Literatura</w:t>
            </w:r>
          </w:p>
        </w:tc>
        <w:tc>
          <w:tcPr>
            <w:tcW w:w="7710" w:type="dxa"/>
            <w:gridSpan w:val="4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6D3EB8" w14:textId="77777777" w:rsidR="00A425B1" w:rsidRPr="007415EF" w:rsidRDefault="00A425B1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</w:t>
            </w: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ab/>
              <w:t xml:space="preserve">S.C.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Tiwari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&amp;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Pankaj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Kapoor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(2018)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Mushroom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Cultivation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.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Mittal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Publications</w:t>
            </w:r>
            <w:proofErr w:type="spellEnd"/>
          </w:p>
          <w:p w14:paraId="040BC20F" w14:textId="77777777" w:rsidR="00A425B1" w:rsidRPr="007415EF" w:rsidRDefault="00A425B1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5220692E" w14:textId="77777777" w:rsidR="00A425B1" w:rsidRPr="007415EF" w:rsidRDefault="00A425B1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</w:t>
            </w: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ab/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Bahl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N. (2000).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Handbook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On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Mushrooms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. 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Oxford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&amp;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Ibh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Publishing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Co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.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Pvt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Ltd</w:t>
            </w:r>
            <w:proofErr w:type="spellEnd"/>
          </w:p>
          <w:p w14:paraId="406FD83C" w14:textId="77777777" w:rsidR="00A425B1" w:rsidRPr="007415EF" w:rsidRDefault="00A425B1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1DC75D6D" w14:textId="77777777" w:rsidR="00A425B1" w:rsidRPr="007415EF" w:rsidRDefault="00A425B1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</w:t>
            </w: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ab/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Ashok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Aggarwal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Yash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Pal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Sharma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Esha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Jangra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(2021). A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Textbook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on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Mushroom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Cultivation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: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Theory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  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and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Practice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. 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Newrays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Publishing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House</w:t>
            </w:r>
            <w:proofErr w:type="spellEnd"/>
          </w:p>
          <w:p w14:paraId="0457DA18" w14:textId="77777777" w:rsidR="00A425B1" w:rsidRPr="007415EF" w:rsidRDefault="00A425B1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395686BD" w14:textId="77777777" w:rsidR="00A425B1" w:rsidRPr="007415EF" w:rsidRDefault="00A425B1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4.</w:t>
            </w: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ab/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Božac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R. (2002):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Gljive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morfologija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, sistematika,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toksikologija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.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Školska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knjiga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, Zagreb</w:t>
            </w:r>
          </w:p>
          <w:p w14:paraId="477BC718" w14:textId="77777777" w:rsidR="00A425B1" w:rsidRPr="007415EF" w:rsidRDefault="00A425B1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7291B3AA" w14:textId="77777777" w:rsidR="00A425B1" w:rsidRPr="007415EF" w:rsidRDefault="00A425B1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5.</w:t>
            </w: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ab/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Novak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B. (1997):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Uzgoj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jestivih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i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ljekovitih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gljiva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.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Hrvatsko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agronomsko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društvo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, Zagreb</w:t>
            </w:r>
          </w:p>
          <w:p w14:paraId="5AA679B1" w14:textId="77777777" w:rsidR="00A425B1" w:rsidRPr="007415EF" w:rsidRDefault="00A425B1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3F975BBC" w14:textId="77777777" w:rsidR="00A425B1" w:rsidRPr="007415EF" w:rsidRDefault="00A425B1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lastRenderedPageBreak/>
              <w:t>6.</w:t>
            </w: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ab/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Božac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R. (2006):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Enciklopedija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gljiva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1.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Školska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knjiga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, Zagreb</w:t>
            </w:r>
          </w:p>
          <w:p w14:paraId="2CA70C5F" w14:textId="77777777" w:rsidR="00A425B1" w:rsidRPr="007415EF" w:rsidRDefault="00A425B1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  <w:p w14:paraId="1F926085" w14:textId="77777777" w:rsidR="00A425B1" w:rsidRPr="007415EF" w:rsidRDefault="00A425B1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7.</w:t>
            </w: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ab/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Bugarski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, D. (2004)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Bukovaca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, Novi Sad</w:t>
            </w:r>
          </w:p>
        </w:tc>
      </w:tr>
    </w:tbl>
    <w:p w14:paraId="4BEC558F" w14:textId="77777777" w:rsidR="00A425B1" w:rsidRPr="007415EF" w:rsidRDefault="00A425B1" w:rsidP="00A425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8EB437" w14:textId="77777777" w:rsidR="002F71EA" w:rsidRDefault="002F71EA"/>
    <w:sectPr w:rsidR="002F71EA" w:rsidSect="00A425B1">
      <w:footerReference w:type="default" r:id="rId4"/>
      <w:footnotePr>
        <w:numRestart w:val="eachPage"/>
      </w:footnotePr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B3719" w14:textId="77777777" w:rsidR="00000000" w:rsidRDefault="00000000" w:rsidP="002C32F4">
    <w:pPr>
      <w:pStyle w:val="Footer"/>
      <w:framePr w:wrap="none" w:vAnchor="text" w:hAnchor="margin" w:xAlign="right" w:y="1"/>
      <w:rPr>
        <w:rStyle w:val="PageNumber"/>
      </w:rPr>
    </w:pPr>
  </w:p>
  <w:p w14:paraId="119DA65B" w14:textId="77777777" w:rsidR="00000000" w:rsidRPr="001863BE" w:rsidRDefault="00000000" w:rsidP="002C32F4">
    <w:pPr>
      <w:pStyle w:val="Footer"/>
      <w:spacing w:line="360" w:lineRule="auto"/>
      <w:rPr>
        <w:rFonts w:ascii="Book Antiqua" w:hAnsi="Book Antiqua"/>
        <w:sz w:val="20"/>
      </w:rPr>
    </w:pPr>
  </w:p>
  <w:p w14:paraId="6803B697" w14:textId="77777777" w:rsidR="00000000" w:rsidRDefault="00000000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Pr="00A622BA">
      <w:rPr>
        <w:noProof/>
        <w:lang w:val="de-DE"/>
      </w:rPr>
      <w:t>21</w:t>
    </w:r>
    <w:r>
      <w:rPr>
        <w:noProof/>
        <w:lang w:val="de-DE"/>
      </w:rPr>
      <w:fldChar w:fldCharType="end"/>
    </w:r>
  </w:p>
  <w:p w14:paraId="7180AE45" w14:textId="77777777" w:rsidR="00000000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B1"/>
    <w:rsid w:val="002F71EA"/>
    <w:rsid w:val="00A220E4"/>
    <w:rsid w:val="00A425B1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C903"/>
  <w15:chartTrackingRefBased/>
  <w15:docId w15:val="{8ED61ACD-BDA2-46C8-9881-A6516629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5B1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5B1"/>
    <w:rPr>
      <w:rFonts w:eastAsiaTheme="minorEastAsia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A425B1"/>
  </w:style>
  <w:style w:type="table" w:styleId="TableGrid">
    <w:name w:val="Table Grid"/>
    <w:basedOn w:val="TableNormal"/>
    <w:uiPriority w:val="39"/>
    <w:rsid w:val="00A425B1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1</cp:revision>
  <dcterms:created xsi:type="dcterms:W3CDTF">2024-06-18T10:13:00Z</dcterms:created>
  <dcterms:modified xsi:type="dcterms:W3CDTF">2024-06-18T10:13:00Z</dcterms:modified>
</cp:coreProperties>
</file>