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450" w:type="dxa"/>
        <w:tblInd w:w="0" w:type="dxa"/>
        <w:tblLayout w:type="fixed"/>
        <w:tblLook w:val="04A0" w:firstRow="1" w:lastRow="0" w:firstColumn="1" w:lastColumn="0" w:noHBand="0" w:noVBand="1"/>
      </w:tblPr>
      <w:tblGrid>
        <w:gridCol w:w="2307"/>
        <w:gridCol w:w="2787"/>
        <w:gridCol w:w="1223"/>
        <w:gridCol w:w="1159"/>
        <w:gridCol w:w="1974"/>
      </w:tblGrid>
      <w:tr w:rsidR="00076637" w14:paraId="6B647C8B" w14:textId="77777777" w:rsidTr="00076637">
        <w:trPr>
          <w:trHeight w:val="395"/>
        </w:trPr>
        <w:tc>
          <w:tcPr>
            <w:tcW w:w="230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7171C8" w14:textId="77777777" w:rsidR="00076637" w:rsidRDefault="000766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5526A546" w14:textId="77777777" w:rsidR="00076637" w:rsidRDefault="00076637">
            <w:pPr>
              <w:spacing w:after="0" w:line="240" w:lineRule="auto"/>
              <w:jc w:val="center"/>
              <w:rPr>
                <w:rFonts w:ascii="Times New Roman" w:hAnsi="Times New Roman" w:cs="Times New Roman"/>
                <w:b/>
                <w:sz w:val="20"/>
                <w:szCs w:val="20"/>
              </w:rPr>
            </w:pPr>
          </w:p>
        </w:tc>
        <w:tc>
          <w:tcPr>
            <w:tcW w:w="7139" w:type="dxa"/>
            <w:gridSpan w:val="4"/>
            <w:tcBorders>
              <w:top w:val="single" w:sz="4" w:space="0" w:color="auto"/>
              <w:left w:val="single" w:sz="4" w:space="0" w:color="auto"/>
              <w:bottom w:val="single" w:sz="4" w:space="0" w:color="auto"/>
              <w:right w:val="single" w:sz="4" w:space="0" w:color="auto"/>
            </w:tcBorders>
            <w:vAlign w:val="center"/>
            <w:hideMark/>
          </w:tcPr>
          <w:p w14:paraId="469F614C" w14:textId="77777777" w:rsidR="00076637" w:rsidRDefault="00076637">
            <w:pPr>
              <w:spacing w:after="0" w:line="240" w:lineRule="auto"/>
              <w:rPr>
                <w:rFonts w:ascii="Times New Roman" w:hAnsi="Times New Roman" w:cs="Times New Roman"/>
                <w:b/>
                <w:sz w:val="20"/>
                <w:szCs w:val="20"/>
              </w:rPr>
            </w:pPr>
            <w:r>
              <w:rPr>
                <w:rFonts w:ascii="Times New Roman" w:hAnsi="Times New Roman" w:cs="Times New Roman"/>
                <w:b/>
                <w:sz w:val="20"/>
                <w:szCs w:val="20"/>
              </w:rPr>
              <w:t>Integrated Management of Plant Diseases and Pests</w:t>
            </w:r>
          </w:p>
        </w:tc>
      </w:tr>
      <w:tr w:rsidR="00076637" w14:paraId="131F5CB1" w14:textId="77777777" w:rsidTr="00076637">
        <w:trPr>
          <w:trHeight w:hRule="exact" w:val="343"/>
        </w:trPr>
        <w:tc>
          <w:tcPr>
            <w:tcW w:w="2306" w:type="dxa"/>
            <w:vMerge/>
            <w:tcBorders>
              <w:top w:val="single" w:sz="4" w:space="0" w:color="auto"/>
              <w:left w:val="single" w:sz="4" w:space="0" w:color="auto"/>
              <w:bottom w:val="single" w:sz="4" w:space="0" w:color="auto"/>
              <w:right w:val="single" w:sz="4" w:space="0" w:color="auto"/>
            </w:tcBorders>
            <w:vAlign w:val="center"/>
            <w:hideMark/>
          </w:tcPr>
          <w:p w14:paraId="090ADBD5" w14:textId="77777777" w:rsidR="00076637" w:rsidRDefault="00076637">
            <w:pPr>
              <w:spacing w:after="0" w:line="240" w:lineRule="auto"/>
              <w:rPr>
                <w:rFonts w:ascii="Times New Roman" w:hAnsi="Times New Roman" w:cs="Times New Roman"/>
                <w:b/>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A02D42" w14:textId="77777777" w:rsidR="00076637" w:rsidRDefault="0007663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Llojj</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F4FD44" w14:textId="77777777" w:rsidR="00076637" w:rsidRDefault="0007663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Semestri</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A4EDB3" w14:textId="77777777" w:rsidR="00076637" w:rsidRDefault="000766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ECTS</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3FC2C1" w14:textId="77777777" w:rsidR="00076637" w:rsidRDefault="000766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Kodi</w:t>
            </w:r>
          </w:p>
        </w:tc>
      </w:tr>
      <w:tr w:rsidR="00076637" w14:paraId="65C9C6AA" w14:textId="77777777" w:rsidTr="00076637">
        <w:trPr>
          <w:trHeight w:hRule="exact" w:val="352"/>
        </w:trPr>
        <w:tc>
          <w:tcPr>
            <w:tcW w:w="2306" w:type="dxa"/>
            <w:vMerge/>
            <w:tcBorders>
              <w:top w:val="single" w:sz="4" w:space="0" w:color="auto"/>
              <w:left w:val="single" w:sz="4" w:space="0" w:color="auto"/>
              <w:bottom w:val="single" w:sz="4" w:space="0" w:color="auto"/>
              <w:right w:val="single" w:sz="4" w:space="0" w:color="auto"/>
            </w:tcBorders>
            <w:vAlign w:val="center"/>
            <w:hideMark/>
          </w:tcPr>
          <w:p w14:paraId="3533A3D4" w14:textId="77777777" w:rsidR="00076637" w:rsidRDefault="00076637">
            <w:pPr>
              <w:spacing w:after="0" w:line="240" w:lineRule="auto"/>
              <w:rPr>
                <w:rFonts w:ascii="Times New Roman" w:hAnsi="Times New Roman" w:cs="Times New Roman"/>
                <w:b/>
                <w:sz w:val="20"/>
                <w:szCs w:val="20"/>
              </w:rPr>
            </w:pPr>
          </w:p>
        </w:tc>
        <w:tc>
          <w:tcPr>
            <w:tcW w:w="2786" w:type="dxa"/>
            <w:tcBorders>
              <w:top w:val="single" w:sz="4" w:space="0" w:color="auto"/>
              <w:left w:val="single" w:sz="4" w:space="0" w:color="auto"/>
              <w:bottom w:val="single" w:sz="4" w:space="0" w:color="auto"/>
              <w:right w:val="single" w:sz="4" w:space="0" w:color="auto"/>
            </w:tcBorders>
            <w:vAlign w:val="center"/>
            <w:hideMark/>
          </w:tcPr>
          <w:p w14:paraId="1920D854" w14:textId="77777777" w:rsidR="00076637" w:rsidRDefault="000766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p>
        </w:tc>
        <w:tc>
          <w:tcPr>
            <w:tcW w:w="1222" w:type="dxa"/>
            <w:tcBorders>
              <w:top w:val="single" w:sz="4" w:space="0" w:color="auto"/>
              <w:left w:val="single" w:sz="4" w:space="0" w:color="auto"/>
              <w:bottom w:val="single" w:sz="4" w:space="0" w:color="auto"/>
              <w:right w:val="single" w:sz="4" w:space="0" w:color="auto"/>
            </w:tcBorders>
            <w:vAlign w:val="center"/>
            <w:hideMark/>
          </w:tcPr>
          <w:p w14:paraId="1C17DFF7" w14:textId="77777777" w:rsidR="00076637" w:rsidRDefault="000766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AF7CB37" w14:textId="77777777" w:rsidR="00076637" w:rsidRDefault="000766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973" w:type="dxa"/>
            <w:tcBorders>
              <w:top w:val="single" w:sz="4" w:space="0" w:color="auto"/>
              <w:left w:val="single" w:sz="4" w:space="0" w:color="auto"/>
              <w:bottom w:val="single" w:sz="4" w:space="0" w:color="auto"/>
              <w:right w:val="single" w:sz="4" w:space="0" w:color="auto"/>
            </w:tcBorders>
            <w:vAlign w:val="center"/>
            <w:hideMark/>
          </w:tcPr>
          <w:p w14:paraId="6F3BD791" w14:textId="77777777" w:rsidR="00076637" w:rsidRDefault="000766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76637" w14:paraId="723EAA7B" w14:textId="77777777" w:rsidTr="00076637">
        <w:trPr>
          <w:trHeight w:val="3878"/>
        </w:trPr>
        <w:tc>
          <w:tcPr>
            <w:tcW w:w="23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D764AB" w14:textId="77777777" w:rsidR="00076637" w:rsidRDefault="000766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7139" w:type="dxa"/>
            <w:gridSpan w:val="4"/>
            <w:tcBorders>
              <w:top w:val="single" w:sz="4" w:space="0" w:color="auto"/>
              <w:left w:val="single" w:sz="4" w:space="0" w:color="auto"/>
              <w:bottom w:val="single" w:sz="4" w:space="0" w:color="auto"/>
              <w:right w:val="single" w:sz="4" w:space="0" w:color="auto"/>
            </w:tcBorders>
            <w:hideMark/>
          </w:tcPr>
          <w:p w14:paraId="4A3D9FBB" w14:textId="77777777" w:rsidR="00076637" w:rsidRDefault="000766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 the framework of disease and pest management in agriculture will be explained the development, concept and classification of diseases and main pests in different groups of plants. The main objective will be the identification of these pests and diseases, alternative methods of protection, etc. It will start from the group of plants of the </w:t>
            </w:r>
            <w:proofErr w:type="spellStart"/>
            <w:r>
              <w:rPr>
                <w:rFonts w:ascii="Times New Roman" w:hAnsi="Times New Roman" w:cs="Times New Roman"/>
                <w:sz w:val="20"/>
                <w:szCs w:val="20"/>
              </w:rPr>
              <w:t>solanacea</w:t>
            </w:r>
            <w:proofErr w:type="spellEnd"/>
            <w:r>
              <w:rPr>
                <w:rFonts w:ascii="Times New Roman" w:hAnsi="Times New Roman" w:cs="Times New Roman"/>
                <w:sz w:val="20"/>
                <w:szCs w:val="20"/>
              </w:rPr>
              <w:t xml:space="preserve"> family, such as tomatoes, peppers, potatoes, etc. Then it will continue with leafy vegetables, nuclear trees, seed trees, the group of walnut trees, cereals, grape vines, etc. The purpose of this course will be to get acquainted with alternative methods such as integrated methods, biological methods and other preventive methods that will be explained within this course.</w:t>
            </w:r>
          </w:p>
          <w:p w14:paraId="392597D5" w14:textId="77777777" w:rsidR="00076637" w:rsidRDefault="000766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good agricultural production practices by eliminating chemical methods of protection or by using those measures as the last alternative in agricultural production</w:t>
            </w:r>
          </w:p>
        </w:tc>
      </w:tr>
      <w:tr w:rsidR="00076637" w14:paraId="27199CD1" w14:textId="77777777" w:rsidTr="00076637">
        <w:trPr>
          <w:trHeight w:val="3365"/>
        </w:trPr>
        <w:tc>
          <w:tcPr>
            <w:tcW w:w="23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1F244C" w14:textId="77777777" w:rsidR="00076637" w:rsidRDefault="000766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Expected results</w:t>
            </w:r>
          </w:p>
        </w:tc>
        <w:tc>
          <w:tcPr>
            <w:tcW w:w="7139" w:type="dxa"/>
            <w:gridSpan w:val="4"/>
            <w:tcBorders>
              <w:top w:val="single" w:sz="4" w:space="0" w:color="auto"/>
              <w:left w:val="single" w:sz="4" w:space="0" w:color="auto"/>
              <w:bottom w:val="single" w:sz="4" w:space="0" w:color="auto"/>
              <w:right w:val="single" w:sz="4" w:space="0" w:color="auto"/>
            </w:tcBorders>
            <w:hideMark/>
          </w:tcPr>
          <w:p w14:paraId="6AC05BF0" w14:textId="77777777" w:rsidR="00076637" w:rsidRDefault="000766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Upon completion of this course the student will be able to:</w:t>
            </w:r>
          </w:p>
          <w:p w14:paraId="7093E857" w14:textId="77777777" w:rsidR="00076637" w:rsidRDefault="000766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Understand the concept of integrated disease and pest management in plant protection.</w:t>
            </w:r>
          </w:p>
          <w:p w14:paraId="75454FDB" w14:textId="77777777" w:rsidR="00076637" w:rsidRDefault="000766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Understand, know and apply preventive measures for plant pathogens and pests</w:t>
            </w:r>
          </w:p>
          <w:p w14:paraId="7F15874E" w14:textId="77777777" w:rsidR="00076637" w:rsidRDefault="000766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Understand the difference between alternative protection.</w:t>
            </w:r>
          </w:p>
          <w:p w14:paraId="77F4BA30" w14:textId="77777777" w:rsidR="00076637" w:rsidRDefault="000766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Understand the concept of biological protection</w:t>
            </w:r>
          </w:p>
          <w:p w14:paraId="0297B136" w14:textId="77777777" w:rsidR="00076637" w:rsidRDefault="000766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To distinguish and identify preventive methods from curative ones</w:t>
            </w:r>
          </w:p>
          <w:p w14:paraId="10761C24" w14:textId="77777777" w:rsidR="00076637" w:rsidRDefault="000766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Understand the factors that affect the increase in the number of diseases and pests</w:t>
            </w:r>
          </w:p>
          <w:p w14:paraId="1E225B69" w14:textId="77777777" w:rsidR="00076637" w:rsidRDefault="000766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To recognize and implement integrated measures for combating pests, etc.</w:t>
            </w:r>
          </w:p>
        </w:tc>
      </w:tr>
      <w:tr w:rsidR="00076637" w14:paraId="196861B2" w14:textId="77777777" w:rsidTr="00076637">
        <w:trPr>
          <w:trHeight w:val="3950"/>
        </w:trPr>
        <w:tc>
          <w:tcPr>
            <w:tcW w:w="23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CA1D751" w14:textId="77777777" w:rsidR="00076637" w:rsidRDefault="000766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 / References</w:t>
            </w:r>
          </w:p>
        </w:tc>
        <w:tc>
          <w:tcPr>
            <w:tcW w:w="7139" w:type="dxa"/>
            <w:gridSpan w:val="4"/>
            <w:tcBorders>
              <w:top w:val="single" w:sz="4" w:space="0" w:color="auto"/>
              <w:left w:val="single" w:sz="4" w:space="0" w:color="auto"/>
              <w:bottom w:val="single" w:sz="4" w:space="0" w:color="auto"/>
              <w:right w:val="single" w:sz="4" w:space="0" w:color="auto"/>
            </w:tcBorders>
          </w:tcPr>
          <w:p w14:paraId="07CE0CA8" w14:textId="77777777" w:rsidR="00076637" w:rsidRDefault="00076637">
            <w:pPr>
              <w:spacing w:after="0" w:line="240" w:lineRule="auto"/>
              <w:jc w:val="both"/>
              <w:rPr>
                <w:rFonts w:ascii="Times New Roman" w:hAnsi="Times New Roman" w:cs="Times New Roman"/>
                <w:sz w:val="20"/>
                <w:szCs w:val="20"/>
              </w:rPr>
            </w:pPr>
          </w:p>
          <w:p w14:paraId="06C82E6D" w14:textId="77777777" w:rsidR="00076637" w:rsidRDefault="00076637">
            <w:pPr>
              <w:spacing w:after="0" w:line="240" w:lineRule="auto"/>
              <w:jc w:val="both"/>
              <w:rPr>
                <w:rFonts w:ascii="Times New Roman" w:hAnsi="Times New Roman" w:cs="Times New Roman"/>
                <w:sz w:val="20"/>
                <w:szCs w:val="20"/>
              </w:rPr>
            </w:pPr>
          </w:p>
          <w:p w14:paraId="48A9B136" w14:textId="77777777" w:rsidR="00076637" w:rsidRDefault="000766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Stanko </w:t>
            </w:r>
            <w:proofErr w:type="gramStart"/>
            <w:r>
              <w:rPr>
                <w:rFonts w:ascii="Times New Roman" w:hAnsi="Times New Roman" w:cs="Times New Roman"/>
                <w:sz w:val="20"/>
                <w:szCs w:val="20"/>
              </w:rPr>
              <w:t xml:space="preserve">Nekic  </w:t>
            </w:r>
            <w:proofErr w:type="spellStart"/>
            <w:r>
              <w:rPr>
                <w:rFonts w:ascii="Times New Roman" w:hAnsi="Times New Roman" w:cs="Times New Roman"/>
                <w:sz w:val="20"/>
                <w:szCs w:val="20"/>
              </w:rPr>
              <w:t>Zastita</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Vocaka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Vinove</w:t>
            </w:r>
            <w:proofErr w:type="spellEnd"/>
            <w:r>
              <w:rPr>
                <w:rFonts w:ascii="Times New Roman" w:hAnsi="Times New Roman" w:cs="Times New Roman"/>
                <w:sz w:val="20"/>
                <w:szCs w:val="20"/>
              </w:rPr>
              <w:t xml:space="preserve"> Loze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Koncept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Integralne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Zastite</w:t>
            </w:r>
            <w:proofErr w:type="spellEnd"/>
            <w:r>
              <w:rPr>
                <w:rFonts w:ascii="Times New Roman" w:hAnsi="Times New Roman" w:cs="Times New Roman"/>
                <w:sz w:val="20"/>
                <w:szCs w:val="20"/>
              </w:rPr>
              <w:t xml:space="preserve">  (2011)</w:t>
            </w:r>
          </w:p>
          <w:p w14:paraId="31004580" w14:textId="77777777" w:rsidR="00076637" w:rsidRDefault="000766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Susuri</w:t>
            </w:r>
            <w:proofErr w:type="spellEnd"/>
            <w:r>
              <w:rPr>
                <w:rFonts w:ascii="Times New Roman" w:hAnsi="Times New Roman" w:cs="Times New Roman"/>
                <w:sz w:val="20"/>
                <w:szCs w:val="20"/>
              </w:rPr>
              <w:t xml:space="preserve">, L. &amp; Myrta, A. (2012): </w:t>
            </w:r>
            <w:proofErr w:type="spellStart"/>
            <w:r>
              <w:rPr>
                <w:rFonts w:ascii="Times New Roman" w:hAnsi="Times New Roman" w:cs="Times New Roman"/>
                <w:sz w:val="20"/>
                <w:szCs w:val="20"/>
              </w:rPr>
              <w:t>Sëmundjet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epemëve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frutore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hardhis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rrushit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Prishtinë</w:t>
            </w:r>
            <w:proofErr w:type="spellEnd"/>
            <w:r>
              <w:rPr>
                <w:rFonts w:ascii="Times New Roman" w:hAnsi="Times New Roman" w:cs="Times New Roman"/>
                <w:sz w:val="20"/>
                <w:szCs w:val="20"/>
              </w:rPr>
              <w:t>.</w:t>
            </w:r>
          </w:p>
          <w:p w14:paraId="72771404" w14:textId="77777777" w:rsidR="00076637" w:rsidRDefault="000766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Myrta, A. (2013): </w:t>
            </w:r>
            <w:proofErr w:type="spellStart"/>
            <w:r>
              <w:rPr>
                <w:rFonts w:ascii="Times New Roman" w:hAnsi="Times New Roman" w:cs="Times New Roman"/>
                <w:sz w:val="20"/>
                <w:szCs w:val="20"/>
              </w:rPr>
              <w:t>Bazat</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Virusologjisë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Bimore.ADDA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Editore</w:t>
            </w:r>
            <w:proofErr w:type="spellEnd"/>
            <w:r>
              <w:rPr>
                <w:rFonts w:ascii="Times New Roman" w:hAnsi="Times New Roman" w:cs="Times New Roman"/>
                <w:sz w:val="20"/>
                <w:szCs w:val="20"/>
              </w:rPr>
              <w:t>. Itali.</w:t>
            </w:r>
          </w:p>
          <w:p w14:paraId="5D47D975" w14:textId="77777777" w:rsidR="00076637" w:rsidRDefault="00076637">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Susuri</w:t>
            </w:r>
            <w:proofErr w:type="spellEnd"/>
            <w:r>
              <w:rPr>
                <w:rFonts w:ascii="Times New Roman" w:hAnsi="Times New Roman" w:cs="Times New Roman"/>
                <w:sz w:val="20"/>
                <w:szCs w:val="20"/>
              </w:rPr>
              <w:t xml:space="preserve">, L. (2004): </w:t>
            </w:r>
            <w:proofErr w:type="spellStart"/>
            <w:r>
              <w:rPr>
                <w:rFonts w:ascii="Times New Roman" w:hAnsi="Times New Roman" w:cs="Times New Roman"/>
                <w:sz w:val="20"/>
                <w:szCs w:val="20"/>
              </w:rPr>
              <w:t>Fitopatologjia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Prishtinë</w:t>
            </w:r>
            <w:proofErr w:type="spellEnd"/>
            <w:r>
              <w:rPr>
                <w:rFonts w:ascii="Times New Roman" w:hAnsi="Times New Roman" w:cs="Times New Roman"/>
                <w:sz w:val="20"/>
                <w:szCs w:val="20"/>
              </w:rPr>
              <w:t>.</w:t>
            </w:r>
          </w:p>
          <w:p w14:paraId="286E4F06" w14:textId="77777777" w:rsidR="00076637" w:rsidRDefault="00076637">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Z.Aleksic</w:t>
            </w:r>
            <w:proofErr w:type="spellEnd"/>
            <w:proofErr w:type="gramEnd"/>
            <w:r>
              <w:rPr>
                <w:rFonts w:ascii="Times New Roman" w:hAnsi="Times New Roman" w:cs="Times New Roman"/>
                <w:sz w:val="20"/>
                <w:szCs w:val="20"/>
              </w:rPr>
              <w:t xml:space="preserve"> Bolesti </w:t>
            </w:r>
            <w:proofErr w:type="spellStart"/>
            <w:r>
              <w:rPr>
                <w:rFonts w:ascii="Times New Roman" w:hAnsi="Times New Roman" w:cs="Times New Roman"/>
                <w:sz w:val="20"/>
                <w:szCs w:val="20"/>
              </w:rPr>
              <w:t>Povrca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Njohovo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Suzbijanje</w:t>
            </w:r>
            <w:proofErr w:type="spellEnd"/>
            <w:r>
              <w:rPr>
                <w:rFonts w:ascii="Times New Roman" w:hAnsi="Times New Roman" w:cs="Times New Roman"/>
                <w:sz w:val="20"/>
                <w:szCs w:val="20"/>
              </w:rPr>
              <w:t xml:space="preserve"> (1980)</w:t>
            </w:r>
          </w:p>
          <w:p w14:paraId="2ADA53C6" w14:textId="77777777" w:rsidR="00076637" w:rsidRDefault="00076637">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Pireva</w:t>
            </w:r>
            <w:proofErr w:type="spellEnd"/>
            <w:r>
              <w:rPr>
                <w:rFonts w:ascii="Times New Roman" w:hAnsi="Times New Roman" w:cs="Times New Roman"/>
                <w:sz w:val="20"/>
                <w:szCs w:val="20"/>
              </w:rPr>
              <w:t>,  I.</w:t>
            </w:r>
            <w:proofErr w:type="gramEnd"/>
            <w:r>
              <w:rPr>
                <w:rFonts w:ascii="Times New Roman" w:hAnsi="Times New Roman" w:cs="Times New Roman"/>
                <w:sz w:val="20"/>
                <w:szCs w:val="20"/>
              </w:rPr>
              <w:t xml:space="preserve">  1996.  </w:t>
            </w:r>
            <w:proofErr w:type="spellStart"/>
            <w:proofErr w:type="gramStart"/>
            <w:r>
              <w:rPr>
                <w:rFonts w:ascii="Times New Roman" w:hAnsi="Times New Roman" w:cs="Times New Roman"/>
                <w:sz w:val="20"/>
                <w:szCs w:val="20"/>
              </w:rPr>
              <w:t>Entomologjia</w:t>
            </w:r>
            <w:proofErr w:type="spellEnd"/>
            <w:r>
              <w:rPr>
                <w:rFonts w:ascii="Times New Roman" w:hAnsi="Times New Roman" w:cs="Times New Roman"/>
                <w:sz w:val="20"/>
                <w:szCs w:val="20"/>
              </w:rPr>
              <w:t xml:space="preserve">  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Përgjithshme</w:t>
            </w:r>
            <w:proofErr w:type="spellEnd"/>
            <w:r>
              <w:rPr>
                <w:rFonts w:ascii="Times New Roman" w:hAnsi="Times New Roman" w:cs="Times New Roman"/>
                <w:sz w:val="20"/>
                <w:szCs w:val="20"/>
              </w:rPr>
              <w:t>.</w:t>
            </w:r>
          </w:p>
          <w:p w14:paraId="14CCAE6C" w14:textId="77777777" w:rsidR="00076637" w:rsidRDefault="00076637">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Universiteti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Prishtinës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Fakulteti  </w:t>
            </w:r>
            <w:proofErr w:type="spell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Bujqësis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Prishtinë</w:t>
            </w:r>
            <w:proofErr w:type="spellEnd"/>
            <w:r>
              <w:rPr>
                <w:rFonts w:ascii="Times New Roman" w:hAnsi="Times New Roman" w:cs="Times New Roman"/>
                <w:sz w:val="20"/>
                <w:szCs w:val="20"/>
              </w:rPr>
              <w:t>.</w:t>
            </w:r>
            <w:r>
              <w:rPr>
                <w:rFonts w:ascii="Times New Roman" w:hAnsi="Times New Roman" w:cs="Times New Roman"/>
                <w:sz w:val="20"/>
                <w:szCs w:val="20"/>
              </w:rPr>
              <w:tab/>
            </w:r>
          </w:p>
          <w:p w14:paraId="0B4C1066" w14:textId="77777777" w:rsidR="00076637" w:rsidRDefault="00076637">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Maceljski</w:t>
            </w:r>
            <w:proofErr w:type="spellEnd"/>
            <w:r>
              <w:rPr>
                <w:rFonts w:ascii="Times New Roman" w:hAnsi="Times New Roman" w:cs="Times New Roman"/>
                <w:sz w:val="20"/>
                <w:szCs w:val="20"/>
              </w:rPr>
              <w:t xml:space="preserve">, M. 1999. </w:t>
            </w:r>
            <w:proofErr w:type="spellStart"/>
            <w:r>
              <w:rPr>
                <w:rFonts w:ascii="Times New Roman" w:hAnsi="Times New Roman" w:cs="Times New Roman"/>
                <w:sz w:val="20"/>
                <w:szCs w:val="20"/>
              </w:rPr>
              <w:t>Poljoprivredna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Entomologija</w:t>
            </w:r>
            <w:proofErr w:type="spellEnd"/>
            <w:r>
              <w:rPr>
                <w:rFonts w:ascii="Times New Roman" w:hAnsi="Times New Roman" w:cs="Times New Roman"/>
                <w:sz w:val="20"/>
                <w:szCs w:val="20"/>
              </w:rPr>
              <w:t>.</w:t>
            </w:r>
          </w:p>
          <w:p w14:paraId="001DBE26" w14:textId="77777777" w:rsidR="00076637" w:rsidRDefault="000766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Ivanka Čizmić. 1997. </w:t>
            </w:r>
            <w:proofErr w:type="spellStart"/>
            <w:r>
              <w:rPr>
                <w:rFonts w:ascii="Times New Roman" w:hAnsi="Times New Roman" w:cs="Times New Roman"/>
                <w:sz w:val="20"/>
                <w:szCs w:val="20"/>
              </w:rPr>
              <w:t>Zaštita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povrća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štetočina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Znanje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 xml:space="preserve"> Zagreb.</w:t>
            </w:r>
          </w:p>
          <w:p w14:paraId="101467E9" w14:textId="77777777" w:rsidR="00076637" w:rsidRDefault="000766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Insekata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Sveučilište</w:t>
            </w:r>
            <w:proofErr w:type="spellEnd"/>
            <w:r>
              <w:rPr>
                <w:rFonts w:ascii="Times New Roman" w:hAnsi="Times New Roman" w:cs="Times New Roman"/>
                <w:sz w:val="20"/>
                <w:szCs w:val="20"/>
              </w:rPr>
              <w:t xml:space="preserve">   u   </w:t>
            </w:r>
            <w:proofErr w:type="spellStart"/>
            <w:r>
              <w:rPr>
                <w:rFonts w:ascii="Times New Roman" w:hAnsi="Times New Roman" w:cs="Times New Roman"/>
                <w:sz w:val="20"/>
                <w:szCs w:val="20"/>
              </w:rPr>
              <w:t>Zagrebu</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Poljoprivredn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Fakultet</w:t>
            </w:r>
            <w:proofErr w:type="spellEnd"/>
            <w:proofErr w:type="gramEnd"/>
            <w:r>
              <w:rPr>
                <w:rFonts w:ascii="Times New Roman" w:hAnsi="Times New Roman" w:cs="Times New Roman"/>
                <w:sz w:val="20"/>
                <w:szCs w:val="20"/>
              </w:rPr>
              <w:t xml:space="preserve"> Zagreb.</w:t>
            </w:r>
          </w:p>
          <w:p w14:paraId="79E320A5" w14:textId="77777777" w:rsidR="00076637" w:rsidRDefault="000766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Shpend </w:t>
            </w:r>
            <w:proofErr w:type="gramStart"/>
            <w:r>
              <w:rPr>
                <w:rFonts w:ascii="Times New Roman" w:hAnsi="Times New Roman" w:cs="Times New Roman"/>
                <w:sz w:val="20"/>
                <w:szCs w:val="20"/>
              </w:rPr>
              <w:t>Shahini ,Thomas</w:t>
            </w:r>
            <w:proofErr w:type="gramEnd"/>
            <w:r>
              <w:rPr>
                <w:rFonts w:ascii="Times New Roman" w:hAnsi="Times New Roman" w:cs="Times New Roman"/>
                <w:sz w:val="20"/>
                <w:szCs w:val="20"/>
              </w:rPr>
              <w:t xml:space="preserve"> Ruci </w:t>
            </w:r>
            <w:proofErr w:type="spellStart"/>
            <w:r>
              <w:rPr>
                <w:rFonts w:ascii="Times New Roman" w:hAnsi="Times New Roman" w:cs="Times New Roman"/>
                <w:sz w:val="20"/>
                <w:szCs w:val="20"/>
              </w:rPr>
              <w:t>Kontrolli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Bilogjik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Paraziteve</w:t>
            </w:r>
            <w:proofErr w:type="spellEnd"/>
            <w:r>
              <w:rPr>
                <w:rFonts w:ascii="Times New Roman" w:hAnsi="Times New Roman" w:cs="Times New Roman"/>
                <w:sz w:val="20"/>
                <w:szCs w:val="20"/>
              </w:rPr>
              <w:t xml:space="preserve"> (2008)</w:t>
            </w:r>
          </w:p>
        </w:tc>
      </w:tr>
    </w:tbl>
    <w:p w14:paraId="5478AA2D" w14:textId="77777777" w:rsidR="00076637" w:rsidRDefault="00076637" w:rsidP="00076637">
      <w:pPr>
        <w:rPr>
          <w:rFonts w:ascii="Times New Roman" w:hAnsi="Times New Roman" w:cs="Times New Roman"/>
          <w:sz w:val="24"/>
          <w:szCs w:val="24"/>
        </w:rPr>
      </w:pPr>
    </w:p>
    <w:p w14:paraId="0746DD26"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37"/>
    <w:rsid w:val="00076637"/>
    <w:rsid w:val="002F71EA"/>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AD16"/>
  <w15:chartTrackingRefBased/>
  <w15:docId w15:val="{7AFACA93-CC9D-4476-9AB7-7A2AE7FA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637"/>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637"/>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31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2024-06-18T10:26:00Z</dcterms:created>
  <dcterms:modified xsi:type="dcterms:W3CDTF">2024-06-18T10:26:00Z</dcterms:modified>
</cp:coreProperties>
</file>