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335"/>
        <w:gridCol w:w="3180"/>
        <w:gridCol w:w="1333"/>
        <w:gridCol w:w="1427"/>
        <w:gridCol w:w="995"/>
      </w:tblGrid>
      <w:tr w:rsidR="00712832" w14:paraId="60CF621E" w14:textId="77777777" w:rsidTr="00712832">
        <w:trPr>
          <w:trHeight w:val="818"/>
        </w:trPr>
        <w:tc>
          <w:tcPr>
            <w:tcW w:w="2335"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14:paraId="6E748E1B"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Subject</w:t>
            </w:r>
          </w:p>
          <w:p w14:paraId="087CA217" w14:textId="77777777" w:rsidR="00712832" w:rsidRDefault="00712832">
            <w:pPr>
              <w:jc w:val="center"/>
              <w:rPr>
                <w:rFonts w:ascii="Times New Roman" w:eastAsia="Arial" w:hAnsi="Times New Roman" w:cs="Times New Roman"/>
                <w:b/>
                <w:sz w:val="20"/>
                <w:szCs w:val="20"/>
              </w:rPr>
            </w:pPr>
          </w:p>
        </w:tc>
        <w:tc>
          <w:tcPr>
            <w:tcW w:w="6930" w:type="dxa"/>
            <w:gridSpan w:val="4"/>
            <w:tcBorders>
              <w:top w:val="single" w:sz="4" w:space="0" w:color="7F7F7F"/>
              <w:left w:val="single" w:sz="4" w:space="0" w:color="7F7F7F"/>
              <w:bottom w:val="nil"/>
              <w:right w:val="single" w:sz="4" w:space="0" w:color="7F7F7F"/>
            </w:tcBorders>
            <w:vAlign w:val="center"/>
            <w:hideMark/>
          </w:tcPr>
          <w:p w14:paraId="3062FEA2" w14:textId="77777777" w:rsidR="00712832" w:rsidRDefault="00712832">
            <w:pPr>
              <w:spacing w:after="160" w:line="256" w:lineRule="auto"/>
              <w:rPr>
                <w:rFonts w:ascii="Times New Roman" w:eastAsia="Calibri" w:hAnsi="Times New Roman" w:cs="Times New Roman"/>
                <w:sz w:val="20"/>
                <w:szCs w:val="20"/>
              </w:rPr>
            </w:pPr>
            <w:r>
              <w:rPr>
                <w:rFonts w:ascii="Times New Roman" w:eastAsia="Calibri" w:hAnsi="Times New Roman" w:cs="Times New Roman"/>
                <w:b/>
                <w:bCs/>
                <w:sz w:val="20"/>
                <w:szCs w:val="20"/>
              </w:rPr>
              <w:t>Artificial intelligence in agriculture and the environment</w:t>
            </w:r>
          </w:p>
        </w:tc>
      </w:tr>
      <w:tr w:rsidR="00712832" w14:paraId="3587161C" w14:textId="77777777" w:rsidTr="00712832">
        <w:trPr>
          <w:trHeight w:val="633"/>
        </w:trPr>
        <w:tc>
          <w:tcPr>
            <w:tcW w:w="2335" w:type="dxa"/>
            <w:vMerge/>
            <w:tcBorders>
              <w:top w:val="single" w:sz="4" w:space="0" w:color="7F7F7F"/>
              <w:left w:val="single" w:sz="4" w:space="0" w:color="7F7F7F"/>
              <w:bottom w:val="single" w:sz="6" w:space="0" w:color="7F7F7F"/>
              <w:right w:val="single" w:sz="4" w:space="0" w:color="7F7F7F"/>
            </w:tcBorders>
            <w:vAlign w:val="center"/>
            <w:hideMark/>
          </w:tcPr>
          <w:p w14:paraId="0EF40DDD" w14:textId="77777777" w:rsidR="00712832" w:rsidRDefault="00712832">
            <w:pPr>
              <w:spacing w:after="0"/>
              <w:rPr>
                <w:rFonts w:ascii="Times New Roman" w:eastAsia="Arial" w:hAnsi="Times New Roman" w:cs="Times New Roman"/>
                <w:b/>
                <w:sz w:val="20"/>
                <w:szCs w:val="20"/>
              </w:rPr>
            </w:pPr>
          </w:p>
        </w:tc>
        <w:tc>
          <w:tcPr>
            <w:tcW w:w="3178" w:type="dxa"/>
            <w:tcBorders>
              <w:top w:val="nil"/>
              <w:left w:val="single" w:sz="4" w:space="0" w:color="7F7F7F"/>
              <w:bottom w:val="nil"/>
              <w:right w:val="nil"/>
            </w:tcBorders>
            <w:shd w:val="clear" w:color="auto" w:fill="F2F2F2"/>
            <w:vAlign w:val="center"/>
            <w:hideMark/>
          </w:tcPr>
          <w:p w14:paraId="43C49F84"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Type</w:t>
            </w:r>
          </w:p>
        </w:tc>
        <w:tc>
          <w:tcPr>
            <w:tcW w:w="1332" w:type="dxa"/>
            <w:tcBorders>
              <w:top w:val="nil"/>
              <w:left w:val="nil"/>
              <w:bottom w:val="nil"/>
              <w:right w:val="nil"/>
            </w:tcBorders>
            <w:shd w:val="clear" w:color="auto" w:fill="F2F2F2"/>
            <w:vAlign w:val="center"/>
            <w:hideMark/>
          </w:tcPr>
          <w:p w14:paraId="692868B0"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Semester</w:t>
            </w:r>
          </w:p>
        </w:tc>
        <w:tc>
          <w:tcPr>
            <w:tcW w:w="1426" w:type="dxa"/>
            <w:tcBorders>
              <w:top w:val="nil"/>
              <w:left w:val="nil"/>
              <w:bottom w:val="nil"/>
              <w:right w:val="nil"/>
            </w:tcBorders>
            <w:shd w:val="clear" w:color="auto" w:fill="F2F2F2"/>
            <w:vAlign w:val="center"/>
            <w:hideMark/>
          </w:tcPr>
          <w:p w14:paraId="4E450AB1"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ECTS</w:t>
            </w:r>
          </w:p>
        </w:tc>
        <w:tc>
          <w:tcPr>
            <w:tcW w:w="994" w:type="dxa"/>
            <w:tcBorders>
              <w:top w:val="nil"/>
              <w:left w:val="nil"/>
              <w:bottom w:val="nil"/>
              <w:right w:val="single" w:sz="4" w:space="0" w:color="7F7F7F"/>
            </w:tcBorders>
            <w:shd w:val="clear" w:color="auto" w:fill="F2F2F2"/>
            <w:vAlign w:val="center"/>
            <w:hideMark/>
          </w:tcPr>
          <w:p w14:paraId="49B81193"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Code</w:t>
            </w:r>
          </w:p>
        </w:tc>
      </w:tr>
      <w:tr w:rsidR="00712832" w14:paraId="6B4E9C84" w14:textId="77777777" w:rsidTr="00712832">
        <w:trPr>
          <w:trHeight w:val="345"/>
        </w:trPr>
        <w:tc>
          <w:tcPr>
            <w:tcW w:w="2335" w:type="dxa"/>
            <w:vMerge/>
            <w:tcBorders>
              <w:top w:val="single" w:sz="4" w:space="0" w:color="7F7F7F"/>
              <w:left w:val="single" w:sz="4" w:space="0" w:color="7F7F7F"/>
              <w:bottom w:val="single" w:sz="6" w:space="0" w:color="7F7F7F"/>
              <w:right w:val="single" w:sz="4" w:space="0" w:color="7F7F7F"/>
            </w:tcBorders>
            <w:vAlign w:val="center"/>
            <w:hideMark/>
          </w:tcPr>
          <w:p w14:paraId="1A68049E" w14:textId="77777777" w:rsidR="00712832" w:rsidRDefault="00712832">
            <w:pPr>
              <w:spacing w:after="0"/>
              <w:rPr>
                <w:rFonts w:ascii="Times New Roman" w:eastAsia="Arial" w:hAnsi="Times New Roman" w:cs="Times New Roman"/>
                <w:b/>
                <w:sz w:val="20"/>
                <w:szCs w:val="20"/>
              </w:rPr>
            </w:pPr>
          </w:p>
        </w:tc>
        <w:tc>
          <w:tcPr>
            <w:tcW w:w="3178" w:type="dxa"/>
            <w:tcBorders>
              <w:top w:val="nil"/>
              <w:left w:val="single" w:sz="4" w:space="0" w:color="7F7F7F"/>
              <w:bottom w:val="single" w:sz="4" w:space="0" w:color="7F7F7F"/>
              <w:right w:val="nil"/>
            </w:tcBorders>
            <w:vAlign w:val="center"/>
            <w:hideMark/>
          </w:tcPr>
          <w:p w14:paraId="2385F013" w14:textId="77777777" w:rsidR="00712832" w:rsidRDefault="00712832">
            <w:pPr>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 xml:space="preserve">                             (O)</w:t>
            </w:r>
          </w:p>
        </w:tc>
        <w:tc>
          <w:tcPr>
            <w:tcW w:w="1332" w:type="dxa"/>
            <w:tcBorders>
              <w:top w:val="nil"/>
              <w:left w:val="nil"/>
              <w:bottom w:val="single" w:sz="4" w:space="0" w:color="7F7F7F"/>
              <w:right w:val="nil"/>
            </w:tcBorders>
            <w:vAlign w:val="center"/>
            <w:hideMark/>
          </w:tcPr>
          <w:p w14:paraId="6457D81A" w14:textId="77777777" w:rsidR="00712832" w:rsidRDefault="00712832">
            <w:pPr>
              <w:jc w:val="center"/>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I</w:t>
            </w:r>
          </w:p>
        </w:tc>
        <w:tc>
          <w:tcPr>
            <w:tcW w:w="1426" w:type="dxa"/>
            <w:tcBorders>
              <w:top w:val="nil"/>
              <w:left w:val="nil"/>
              <w:bottom w:val="single" w:sz="4" w:space="0" w:color="7F7F7F"/>
              <w:right w:val="nil"/>
            </w:tcBorders>
            <w:vAlign w:val="center"/>
            <w:hideMark/>
          </w:tcPr>
          <w:p w14:paraId="190A3710" w14:textId="77777777" w:rsidR="00712832" w:rsidRDefault="00712832">
            <w:pPr>
              <w:jc w:val="center"/>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6</w:t>
            </w:r>
          </w:p>
        </w:tc>
        <w:tc>
          <w:tcPr>
            <w:tcW w:w="994" w:type="dxa"/>
            <w:tcBorders>
              <w:top w:val="nil"/>
              <w:left w:val="nil"/>
              <w:bottom w:val="single" w:sz="4" w:space="0" w:color="7F7F7F"/>
              <w:right w:val="single" w:sz="4" w:space="0" w:color="7F7F7F"/>
            </w:tcBorders>
            <w:vAlign w:val="center"/>
            <w:hideMark/>
          </w:tcPr>
          <w:p w14:paraId="37EF1D95" w14:textId="77777777" w:rsidR="00712832" w:rsidRDefault="00712832">
            <w:pPr>
              <w:jc w:val="center"/>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w:t>
            </w:r>
          </w:p>
        </w:tc>
      </w:tr>
      <w:tr w:rsidR="00712832" w14:paraId="4FD8D6BD" w14:textId="77777777" w:rsidTr="00712832">
        <w:tc>
          <w:tcPr>
            <w:tcW w:w="2335" w:type="dxa"/>
            <w:tcBorders>
              <w:top w:val="single" w:sz="4" w:space="0" w:color="7F7F7F"/>
              <w:left w:val="single" w:sz="4" w:space="0" w:color="7F7F7F"/>
              <w:bottom w:val="single" w:sz="4" w:space="0" w:color="7F7F7F"/>
              <w:right w:val="nil"/>
            </w:tcBorders>
            <w:shd w:val="clear" w:color="auto" w:fill="D9E2F3"/>
            <w:vAlign w:val="center"/>
            <w:hideMark/>
          </w:tcPr>
          <w:p w14:paraId="41D7676B"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Aims and Objectives</w:t>
            </w:r>
          </w:p>
        </w:tc>
        <w:tc>
          <w:tcPr>
            <w:tcW w:w="6930" w:type="dxa"/>
            <w:gridSpan w:val="4"/>
            <w:tcBorders>
              <w:top w:val="single" w:sz="4" w:space="0" w:color="7F7F7F"/>
              <w:left w:val="nil"/>
              <w:bottom w:val="single" w:sz="4" w:space="0" w:color="7F7F7F"/>
              <w:right w:val="single" w:sz="4" w:space="0" w:color="7F7F7F"/>
            </w:tcBorders>
            <w:hideMark/>
          </w:tcPr>
          <w:p w14:paraId="7FA74A43" w14:textId="77777777" w:rsidR="00712832" w:rsidRDefault="00712832">
            <w:pPr>
              <w:jc w:val="both"/>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The course will give an overview of main applications and problems encountered in agriculture with mechatronic systems. This course teaches the students about different element in agriculture including tasks and requirements of mechatronic systems, application of mechatronic systems in agriculture machinery in order to deal with cases such as uneven terrain, different weather conditions, and application of sensory devices and requirements of such devices. Characteristics, operations and mechatronic solutions for agriculture machinery and tractors, harvesting systems, products selection and packing, and so on.</w:t>
            </w:r>
          </w:p>
        </w:tc>
      </w:tr>
      <w:tr w:rsidR="00712832" w14:paraId="10D10B1B" w14:textId="77777777" w:rsidTr="00712832">
        <w:tc>
          <w:tcPr>
            <w:tcW w:w="2335" w:type="dxa"/>
            <w:tcBorders>
              <w:top w:val="single" w:sz="4" w:space="0" w:color="7F7F7F"/>
              <w:left w:val="single" w:sz="4" w:space="0" w:color="7F7F7F"/>
              <w:bottom w:val="single" w:sz="4" w:space="0" w:color="7F7F7F"/>
              <w:right w:val="nil"/>
            </w:tcBorders>
            <w:shd w:val="clear" w:color="auto" w:fill="D9E2F3"/>
            <w:vAlign w:val="center"/>
            <w:hideMark/>
          </w:tcPr>
          <w:p w14:paraId="4CB2E7CD"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Learning Outcomes</w:t>
            </w:r>
          </w:p>
        </w:tc>
        <w:tc>
          <w:tcPr>
            <w:tcW w:w="6930" w:type="dxa"/>
            <w:gridSpan w:val="4"/>
            <w:tcBorders>
              <w:top w:val="single" w:sz="4" w:space="0" w:color="7F7F7F"/>
              <w:left w:val="nil"/>
              <w:bottom w:val="single" w:sz="4" w:space="0" w:color="7F7F7F"/>
              <w:right w:val="single" w:sz="4" w:space="0" w:color="7F7F7F"/>
            </w:tcBorders>
          </w:tcPr>
          <w:p w14:paraId="067386D5" w14:textId="77777777" w:rsidR="00712832" w:rsidRDefault="00712832">
            <w:pPr>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On successful completion of this module, a student should be able to:</w:t>
            </w:r>
          </w:p>
          <w:p w14:paraId="19084750"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Understand the application areas of mechatronics in Agriculture</w:t>
            </w:r>
          </w:p>
          <w:p w14:paraId="6DA488CC"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Understand the types of sensors used in Agriculture</w:t>
            </w:r>
          </w:p>
          <w:p w14:paraId="5C20F7EA"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Understand the application principles of unmanned systems</w:t>
            </w:r>
          </w:p>
          <w:p w14:paraId="77D3A4F2"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Understand the solar systems</w:t>
            </w:r>
          </w:p>
          <w:p w14:paraId="0D6BC90F"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Understand the principles of Automatic Packing Systems</w:t>
            </w:r>
          </w:p>
          <w:p w14:paraId="7B0D02B6"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Design the basic mechatronic systems for agriculture</w:t>
            </w:r>
          </w:p>
          <w:p w14:paraId="3D2DFE26"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Understand the Global Positioning System and its application in Agriculture</w:t>
            </w:r>
          </w:p>
          <w:p w14:paraId="287BBF5D" w14:textId="77777777" w:rsidR="00712832" w:rsidRDefault="00712832" w:rsidP="00671CDD">
            <w:pPr>
              <w:numPr>
                <w:ilvl w:val="0"/>
                <w:numId w:val="1"/>
              </w:numPr>
              <w:ind w:left="432" w:hanging="450"/>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Define/Understand types of mechatronics systems used in Agriculture</w:t>
            </w:r>
          </w:p>
          <w:p w14:paraId="2E69182C" w14:textId="77777777" w:rsidR="00712832" w:rsidRDefault="00712832">
            <w:pPr>
              <w:rPr>
                <w:rFonts w:ascii="Times New Roman" w:eastAsia="Arial" w:hAnsi="Times New Roman" w:cs="Times New Roman"/>
                <w:color w:val="404040"/>
                <w:sz w:val="20"/>
                <w:szCs w:val="20"/>
              </w:rPr>
            </w:pPr>
          </w:p>
        </w:tc>
      </w:tr>
      <w:tr w:rsidR="00712832" w14:paraId="51326BAC" w14:textId="77777777" w:rsidTr="00712832">
        <w:tc>
          <w:tcPr>
            <w:tcW w:w="2335" w:type="dxa"/>
            <w:tcBorders>
              <w:top w:val="single" w:sz="4" w:space="0" w:color="7F7F7F"/>
              <w:left w:val="single" w:sz="4" w:space="0" w:color="7F7F7F"/>
              <w:bottom w:val="single" w:sz="4" w:space="0" w:color="7F7F7F"/>
              <w:right w:val="nil"/>
            </w:tcBorders>
            <w:shd w:val="clear" w:color="auto" w:fill="D9E2F3"/>
            <w:vAlign w:val="center"/>
            <w:hideMark/>
          </w:tcPr>
          <w:p w14:paraId="3EA3CA59" w14:textId="77777777" w:rsidR="00712832" w:rsidRDefault="00712832">
            <w:pPr>
              <w:jc w:val="center"/>
              <w:rPr>
                <w:rFonts w:ascii="Times New Roman" w:eastAsia="Arial" w:hAnsi="Times New Roman" w:cs="Times New Roman"/>
                <w:b/>
                <w:sz w:val="20"/>
                <w:szCs w:val="20"/>
              </w:rPr>
            </w:pPr>
            <w:r>
              <w:rPr>
                <w:rFonts w:ascii="Times New Roman" w:eastAsia="Arial" w:hAnsi="Times New Roman" w:cs="Times New Roman"/>
                <w:b/>
                <w:sz w:val="20"/>
                <w:szCs w:val="20"/>
              </w:rPr>
              <w:t>Literature/References</w:t>
            </w:r>
          </w:p>
        </w:tc>
        <w:tc>
          <w:tcPr>
            <w:tcW w:w="6930" w:type="dxa"/>
            <w:gridSpan w:val="4"/>
            <w:tcBorders>
              <w:top w:val="single" w:sz="4" w:space="0" w:color="7F7F7F"/>
              <w:left w:val="nil"/>
              <w:bottom w:val="single" w:sz="4" w:space="0" w:color="7F7F7F"/>
              <w:right w:val="single" w:sz="4" w:space="0" w:color="7F7F7F"/>
            </w:tcBorders>
            <w:hideMark/>
          </w:tcPr>
          <w:p w14:paraId="2C96935F" w14:textId="77777777" w:rsidR="00712832" w:rsidRDefault="00712832">
            <w:pPr>
              <w:jc w:val="both"/>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w:t>
            </w:r>
            <w:r>
              <w:rPr>
                <w:rFonts w:ascii="Times New Roman" w:eastAsia="Arial" w:hAnsi="Times New Roman" w:cs="Times New Roman"/>
                <w:color w:val="404040"/>
                <w:sz w:val="20"/>
                <w:szCs w:val="20"/>
              </w:rPr>
              <w:tab/>
              <w:t xml:space="preserve">Ahmad Smaili, Fouad </w:t>
            </w:r>
            <w:proofErr w:type="spellStart"/>
            <w:r>
              <w:rPr>
                <w:rFonts w:ascii="Times New Roman" w:eastAsia="Arial" w:hAnsi="Times New Roman" w:cs="Times New Roman"/>
                <w:color w:val="404040"/>
                <w:sz w:val="20"/>
                <w:szCs w:val="20"/>
              </w:rPr>
              <w:t>Mrad</w:t>
            </w:r>
            <w:proofErr w:type="spellEnd"/>
            <w:r>
              <w:rPr>
                <w:rFonts w:ascii="Times New Roman" w:eastAsia="Arial" w:hAnsi="Times New Roman" w:cs="Times New Roman"/>
                <w:color w:val="404040"/>
                <w:sz w:val="20"/>
                <w:szCs w:val="20"/>
              </w:rPr>
              <w:t xml:space="preserve">, “Applied Mechatronic”, Oxford University Press, 2008.     </w:t>
            </w:r>
          </w:p>
          <w:p w14:paraId="27A07197" w14:textId="77777777" w:rsidR="00712832" w:rsidRDefault="00712832">
            <w:pPr>
              <w:jc w:val="both"/>
              <w:rPr>
                <w:rFonts w:ascii="Times New Roman" w:eastAsia="Arial" w:hAnsi="Times New Roman" w:cs="Times New Roman"/>
                <w:color w:val="404040"/>
                <w:sz w:val="20"/>
                <w:szCs w:val="20"/>
              </w:rPr>
            </w:pPr>
            <w:r>
              <w:rPr>
                <w:rFonts w:ascii="Times New Roman" w:eastAsia="Arial" w:hAnsi="Times New Roman" w:cs="Times New Roman"/>
                <w:color w:val="404040"/>
                <w:sz w:val="20"/>
                <w:szCs w:val="20"/>
              </w:rPr>
              <w:t>-</w:t>
            </w:r>
            <w:r>
              <w:rPr>
                <w:rFonts w:ascii="Times New Roman" w:eastAsia="Arial" w:hAnsi="Times New Roman" w:cs="Times New Roman"/>
                <w:color w:val="404040"/>
                <w:sz w:val="20"/>
                <w:szCs w:val="20"/>
              </w:rPr>
              <w:tab/>
              <w:t>Agricultural Automation: Fundamentals and Practices, Qin Zhang, Francis J. Pierce, 2013.</w:t>
            </w:r>
          </w:p>
        </w:tc>
      </w:tr>
    </w:tbl>
    <w:p w14:paraId="4AE2823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7A55D2"/>
    <w:multiLevelType w:val="multilevel"/>
    <w:tmpl w:val="31C01A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919352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32"/>
    <w:rsid w:val="002F71EA"/>
    <w:rsid w:val="00712832"/>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9164"/>
  <w15:chartTrackingRefBased/>
  <w15:docId w15:val="{7D1E456A-4A9A-46A2-9B34-5204601D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832"/>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8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2024-06-18T10:17:00Z</dcterms:created>
  <dcterms:modified xsi:type="dcterms:W3CDTF">2024-06-18T10:17:00Z</dcterms:modified>
</cp:coreProperties>
</file>