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104"/>
        <w:gridCol w:w="3483"/>
        <w:gridCol w:w="1317"/>
        <w:gridCol w:w="1640"/>
        <w:gridCol w:w="1531"/>
      </w:tblGrid>
      <w:tr w:rsidR="00136A4F" w:rsidRPr="007415EF" w14:paraId="6F5E7C29" w14:textId="77777777" w:rsidTr="00671CDD">
        <w:tc>
          <w:tcPr>
            <w:tcW w:w="2104" w:type="dxa"/>
            <w:vMerge w:val="restart"/>
            <w:shd w:val="clear" w:color="auto" w:fill="D9E2F3" w:themeFill="accent1" w:themeFillTint="33"/>
            <w:vAlign w:val="center"/>
          </w:tcPr>
          <w:p w14:paraId="36F1A538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Lënda</w:t>
            </w:r>
            <w:proofErr w:type="spellEnd"/>
          </w:p>
          <w:p w14:paraId="6F5C33E7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1" w:type="dxa"/>
            <w:gridSpan w:val="4"/>
            <w:vAlign w:val="center"/>
          </w:tcPr>
          <w:p w14:paraId="3F400799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05AF7" w14:textId="77777777" w:rsidR="00136A4F" w:rsidRPr="007415EF" w:rsidRDefault="00136A4F" w:rsidP="00671C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Ampelografi</w:t>
            </w:r>
            <w:proofErr w:type="spellEnd"/>
            <w:r w:rsidRPr="00741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avancuar</w:t>
            </w:r>
            <w:proofErr w:type="spellEnd"/>
            <w:r w:rsidRPr="00741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36A4F" w:rsidRPr="007415EF" w14:paraId="3422F29D" w14:textId="77777777" w:rsidTr="00671CDD">
        <w:trPr>
          <w:trHeight w:hRule="exact" w:val="288"/>
        </w:trPr>
        <w:tc>
          <w:tcPr>
            <w:tcW w:w="2104" w:type="dxa"/>
            <w:vMerge/>
            <w:shd w:val="clear" w:color="auto" w:fill="D9E2F3" w:themeFill="accent1" w:themeFillTint="33"/>
            <w:vAlign w:val="center"/>
          </w:tcPr>
          <w:p w14:paraId="16CE2736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F2F2F2" w:themeFill="background1" w:themeFillShade="F2"/>
            <w:vAlign w:val="center"/>
          </w:tcPr>
          <w:p w14:paraId="7DC2EEE5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Lloji</w:t>
            </w:r>
            <w:proofErr w:type="spellEnd"/>
          </w:p>
          <w:p w14:paraId="3A53D4CE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3D17C85D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546E7658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CBEF0A7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Kodi</w:t>
            </w:r>
          </w:p>
        </w:tc>
      </w:tr>
      <w:tr w:rsidR="00136A4F" w:rsidRPr="007415EF" w14:paraId="087D01A0" w14:textId="77777777" w:rsidTr="00671CDD">
        <w:trPr>
          <w:trHeight w:hRule="exact" w:val="288"/>
        </w:trPr>
        <w:tc>
          <w:tcPr>
            <w:tcW w:w="2104" w:type="dxa"/>
            <w:vMerge/>
            <w:shd w:val="clear" w:color="auto" w:fill="D9E2F3" w:themeFill="accent1" w:themeFillTint="33"/>
            <w:vAlign w:val="center"/>
          </w:tcPr>
          <w:p w14:paraId="3BC23080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23CB7292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OBLIGATIVE (O)</w:t>
            </w:r>
          </w:p>
          <w:p w14:paraId="4EF71D3C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79296A99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640" w:type="dxa"/>
            <w:vAlign w:val="center"/>
          </w:tcPr>
          <w:p w14:paraId="44EB6DB0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14:paraId="16DBC764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4F" w:rsidRPr="007415EF" w14:paraId="30799414" w14:textId="77777777" w:rsidTr="00671CDD">
        <w:trPr>
          <w:trHeight w:val="1232"/>
        </w:trPr>
        <w:tc>
          <w:tcPr>
            <w:tcW w:w="2104" w:type="dxa"/>
            <w:shd w:val="clear" w:color="auto" w:fill="D9E2F3" w:themeFill="accent1" w:themeFillTint="33"/>
            <w:vAlign w:val="center"/>
          </w:tcPr>
          <w:p w14:paraId="3EB416BD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Qëllimet</w:t>
            </w:r>
            <w:proofErr w:type="spellEnd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7971" w:type="dxa"/>
            <w:gridSpan w:val="4"/>
          </w:tcPr>
          <w:p w14:paraId="1DD932AB" w14:textId="77777777" w:rsidR="00136A4F" w:rsidRPr="007415EF" w:rsidRDefault="00136A4F" w:rsidP="0067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</w:rPr>
              <w:t xml:space="preserve">Lënda </w:t>
            </w:r>
            <w:r w:rsidRPr="007415EF"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  <w:t xml:space="preserve">“Ampelografi e avancuar” shqyrton menaxhimin e hardhive në lidhje me mënyrën se si kjo ndikon në prodhimin e rrushit dhe verës. Do të studjohen parimet kryesore që mbështesin përformancën dhe ekuilibrin e hardhisë dhe faktorëve vreshtarë me ndikim në përbërtjen e rrushit dhe verës. Studentët do të thellojnë dhe do të përparojnë në aftësitë e menaxhimit të vreshtave si dhe në vlerësimet e ndërlidhjeve midis faktorëve abiotik dhe biotik, përbërjes së kokrrave të rrushit dhe verës së prodhuar. </w:t>
            </w:r>
          </w:p>
        </w:tc>
      </w:tr>
      <w:tr w:rsidR="00136A4F" w:rsidRPr="007415EF" w14:paraId="710A632E" w14:textId="77777777" w:rsidTr="00671CDD">
        <w:trPr>
          <w:trHeight w:val="926"/>
        </w:trPr>
        <w:tc>
          <w:tcPr>
            <w:tcW w:w="2104" w:type="dxa"/>
            <w:shd w:val="clear" w:color="auto" w:fill="D9E2F3" w:themeFill="accent1" w:themeFillTint="33"/>
            <w:vAlign w:val="center"/>
          </w:tcPr>
          <w:p w14:paraId="43328175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Rezultatet</w:t>
            </w:r>
            <w:proofErr w:type="spellEnd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7971" w:type="dxa"/>
            <w:gridSpan w:val="4"/>
          </w:tcPr>
          <w:p w14:paraId="039D3635" w14:textId="77777777" w:rsidR="00136A4F" w:rsidRPr="007415EF" w:rsidRDefault="00136A4F" w:rsidP="00671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Pas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përfundimit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kursit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studentët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arrijnë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aftësi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përgjithëshme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aftësi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specifike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këtë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lëmi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135346B" w14:textId="77777777" w:rsidR="00136A4F" w:rsidRPr="007415EF" w:rsidRDefault="00136A4F" w:rsidP="00671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Nga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kompetencat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përgjithëshme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janë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veçuar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3128CA4F" w14:textId="77777777" w:rsidR="00136A4F" w:rsidRPr="007415EF" w:rsidRDefault="00136A4F" w:rsidP="00136A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Studentët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kuptojnë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çështje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teknike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shkencore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teknologjike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mundësojnë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zgjidhë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mënyrë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efektive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problem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komplekse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lëmin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aampelografisë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04E5FF96" w14:textId="77777777" w:rsidR="00136A4F" w:rsidRPr="007415EF" w:rsidRDefault="00136A4F" w:rsidP="00136A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Studentët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kuptojnë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efektet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verës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mjedis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068ACA87" w14:textId="77777777" w:rsidR="00136A4F" w:rsidRPr="007415EF" w:rsidRDefault="00136A4F" w:rsidP="00136A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Studentët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planifikojnë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zbatojnë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procese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përputhje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kërkesat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aktuale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socio-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ekonomike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mjedisore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58856E4" w14:textId="77777777" w:rsidR="00136A4F" w:rsidRPr="007415EF" w:rsidRDefault="00136A4F" w:rsidP="00671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Ndërkaq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nga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kompetencat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specifike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janë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veçuar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më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poshtë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2A7A24FF" w14:textId="77777777" w:rsidR="00136A4F" w:rsidRPr="007415EF" w:rsidRDefault="00136A4F" w:rsidP="00136A4F">
            <w:pPr>
              <w:numPr>
                <w:ilvl w:val="0"/>
                <w:numId w:val="2"/>
              </w:numPr>
              <w:spacing w:before="60" w:after="75" w:line="240" w:lineRule="auto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kuptojnë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lëndët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e para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nevojshme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karakteristikat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tyre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zhvillimin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produkteve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enologjike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.</w:t>
            </w:r>
          </w:p>
          <w:p w14:paraId="2AEA1F02" w14:textId="77777777" w:rsidR="00136A4F" w:rsidRPr="007415EF" w:rsidRDefault="00136A4F" w:rsidP="00136A4F">
            <w:pPr>
              <w:numPr>
                <w:ilvl w:val="0"/>
                <w:numId w:val="2"/>
              </w:numPr>
              <w:spacing w:before="60" w:after="75" w:line="240" w:lineRule="auto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kuptojnë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operacionet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ndryshme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ndodhin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gjatë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gjithë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procesit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prodhimit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verës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.</w:t>
            </w:r>
          </w:p>
          <w:p w14:paraId="72B4576E" w14:textId="77777777" w:rsidR="00136A4F" w:rsidRPr="007415EF" w:rsidRDefault="00136A4F" w:rsidP="00136A4F">
            <w:pPr>
              <w:numPr>
                <w:ilvl w:val="0"/>
                <w:numId w:val="2"/>
              </w:numPr>
              <w:spacing w:before="60" w:after="75" w:line="240" w:lineRule="auto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Studentët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jenë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gjendje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kryejnë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përshkrime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kodit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ampelografik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duke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përdorur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karakterin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përshkrues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Zyrës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Ndërkombëtare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Hardhisë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VerësNxënësit do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jenë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gjendje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njohin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proceset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teknikat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kanë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rezultuar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nga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numri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madh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varieteteve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kultivuara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hardhisë</w:t>
            </w:r>
            <w:proofErr w:type="spellEnd"/>
            <w:r w:rsidRPr="007415EF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.</w:t>
            </w:r>
          </w:p>
          <w:p w14:paraId="0B8B10A6" w14:textId="77777777" w:rsidR="00136A4F" w:rsidRPr="007415EF" w:rsidRDefault="00136A4F" w:rsidP="00136A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Ata do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jenë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gjendje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bëjnë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rekomandime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modelet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ndërtimit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vreshtave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reja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duke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përfshirë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rekomandimet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nënshartesa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varietete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verë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ashtu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edhe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rrush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tryeze</w:t>
            </w:r>
            <w:proofErr w:type="spellEnd"/>
            <w:r w:rsidRPr="007415E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</w:tr>
      <w:tr w:rsidR="00136A4F" w:rsidRPr="007415EF" w14:paraId="33ED0CF5" w14:textId="77777777" w:rsidTr="00671CDD">
        <w:tc>
          <w:tcPr>
            <w:tcW w:w="2104" w:type="dxa"/>
            <w:shd w:val="clear" w:color="auto" w:fill="D9E2F3" w:themeFill="accent1" w:themeFillTint="33"/>
            <w:vAlign w:val="center"/>
          </w:tcPr>
          <w:p w14:paraId="368BC25D" w14:textId="77777777" w:rsidR="00136A4F" w:rsidRPr="007415EF" w:rsidRDefault="00136A4F" w:rsidP="00671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Literatura</w:t>
            </w:r>
            <w:proofErr w:type="spellEnd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415EF">
              <w:rPr>
                <w:rFonts w:ascii="Times New Roman" w:hAnsi="Times New Roman" w:cs="Times New Roman"/>
                <w:b/>
                <w:sz w:val="20"/>
                <w:szCs w:val="20"/>
              </w:rPr>
              <w:t>Referencat</w:t>
            </w:r>
            <w:proofErr w:type="spellEnd"/>
          </w:p>
        </w:tc>
        <w:tc>
          <w:tcPr>
            <w:tcW w:w="7971" w:type="dxa"/>
            <w:gridSpan w:val="4"/>
          </w:tcPr>
          <w:p w14:paraId="2AAC3DEE" w14:textId="77777777" w:rsidR="00136A4F" w:rsidRPr="007415EF" w:rsidRDefault="00136A4F" w:rsidP="00136A4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Ribereau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-Gayon, ´ D.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Dubourdieu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B.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Doneche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` and A.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Lonvaud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Handbook of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Enology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Volume 1 The Microbiology of Wine and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Vinifications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2nd Edition, 2006</w:t>
            </w:r>
          </w:p>
          <w:p w14:paraId="2CD0ACA1" w14:textId="77777777" w:rsidR="00136A4F" w:rsidRPr="007415EF" w:rsidRDefault="00136A4F" w:rsidP="00136A4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Chitwood DH, at all; A modern Ampelography: a genetic basis for leaf shape and venation patterning in grape. Plant Physiol. 2014 </w:t>
            </w:r>
          </w:p>
          <w:p w14:paraId="5C7B55CF" w14:textId="77777777" w:rsidR="00136A4F" w:rsidRPr="007415EF" w:rsidRDefault="00136A4F" w:rsidP="00136A4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Kerridge, George</w:t>
            </w:r>
            <w:r w:rsidRPr="007415EF">
              <w:rPr>
                <w:rStyle w:val="media-delimiter"/>
                <w:rFonts w:ascii="Times New Roman" w:hAnsi="Times New Roman" w:cs="Times New Roman"/>
                <w:sz w:val="20"/>
                <w:szCs w:val="20"/>
              </w:rPr>
              <w:t>; 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Gackle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Angela </w:t>
            </w:r>
            <w:hyperlink r:id="rId5" w:history="1">
              <w:r w:rsidRPr="007415E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Vines for wines a wine lover's guide to the top wine grape varieties</w:t>
              </w:r>
            </w:hyperlink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0297BE52" w14:textId="77777777" w:rsidR="00136A4F" w:rsidRPr="007415EF" w:rsidRDefault="00136A4F" w:rsidP="00136A4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Çakalli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Susaj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Ampelografia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2004;</w:t>
            </w:r>
          </w:p>
          <w:p w14:paraId="126CF448" w14:textId="77777777" w:rsidR="00136A4F" w:rsidRPr="007415EF" w:rsidRDefault="00136A4F" w:rsidP="00136A4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15EF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Susaj</w:t>
            </w:r>
            <w:proofErr w:type="spellEnd"/>
            <w:r w:rsidRPr="007415EF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 L.,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Vreshtaria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Lush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Susaj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15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Tekst</w:t>
            </w:r>
            <w:proofErr w:type="spellEnd"/>
            <w:r w:rsidRPr="007415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5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Universitar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415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2012</w:t>
            </w:r>
          </w:p>
          <w:p w14:paraId="78E4333D" w14:textId="77777777" w:rsidR="00136A4F" w:rsidRPr="007415EF" w:rsidRDefault="00136A4F" w:rsidP="00136A4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Susaj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Mekanizimi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Vreshtave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Tekst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Universitar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2015.</w:t>
            </w:r>
          </w:p>
          <w:p w14:paraId="658EAE22" w14:textId="77777777" w:rsidR="00136A4F" w:rsidRPr="007415EF" w:rsidRDefault="00136A4F" w:rsidP="00136A4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Sotiri P.,GjermeniT.,NiniT.(1973):</w:t>
            </w:r>
            <w:r w:rsidRPr="007415EF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val="en-US"/>
              </w:rPr>
              <w:t>Vitikultura.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Instituti </w:t>
            </w:r>
            <w:r w:rsidRPr="007415EF">
              <w:rPr>
                <w:rFonts w:ascii="Times New Roman" w:eastAsia="Times New Roman" w:hAnsi="Times New Roman" w:cs="Times New Roman"/>
                <w:noProof/>
                <w:w w:val="127"/>
                <w:sz w:val="20"/>
                <w:szCs w:val="20"/>
                <w:lang w:val="en-US"/>
              </w:rPr>
              <w:t xml:space="preserve">i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lartë shtetëror</w:t>
            </w:r>
            <w:r w:rsidRPr="007415EF">
              <w:rPr>
                <w:rFonts w:ascii="Times New Roman" w:eastAsia="Times New Roman" w:hAnsi="Times New Roman" w:cs="Times New Roman"/>
                <w:noProof/>
                <w:w w:val="129"/>
                <w:sz w:val="20"/>
                <w:szCs w:val="20"/>
                <w:lang w:val="en-US"/>
              </w:rPr>
              <w:t>i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bujqësis;</w:t>
            </w:r>
          </w:p>
          <w:p w14:paraId="2DBB3BAC" w14:textId="77777777" w:rsidR="00136A4F" w:rsidRPr="007415EF" w:rsidRDefault="00136A4F" w:rsidP="00136A4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Dragusha B., Susaj L., Vreshtaria. Prishtinë, 2018;</w:t>
            </w:r>
          </w:p>
          <w:p w14:paraId="02ED0FDA" w14:textId="77777777" w:rsidR="00136A4F" w:rsidRPr="007415EF" w:rsidRDefault="00136A4F" w:rsidP="00136A4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Koronica B.,Vreshtaria.</w:t>
            </w:r>
            <w:r w:rsidRPr="007415EF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val="en-US"/>
              </w:rPr>
              <w:t xml:space="preserve">Universiteti </w:t>
            </w:r>
            <w:r w:rsidRPr="007415EF">
              <w:rPr>
                <w:rFonts w:ascii="Times New Roman" w:eastAsia="Times New Roman" w:hAnsi="Times New Roman" w:cs="Times New Roman"/>
                <w:noProof/>
                <w:w w:val="127"/>
                <w:sz w:val="20"/>
                <w:szCs w:val="20"/>
                <w:lang w:val="en-US"/>
              </w:rPr>
              <w:t xml:space="preserve">i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Prishtinës.Prishtinë (1996):.</w:t>
            </w:r>
          </w:p>
          <w:p w14:paraId="5B85D3EB" w14:textId="77777777" w:rsidR="00136A4F" w:rsidRPr="007415EF" w:rsidRDefault="00136A4F" w:rsidP="00136A4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15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Avramov L.,</w:t>
            </w:r>
            <w:r w:rsidRPr="007415EF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  <w:lang w:val="en-US"/>
              </w:rPr>
              <w:t>Vinogradarstvo.Nolit</w:t>
            </w:r>
            <w:proofErr w:type="spellEnd"/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7415EF">
              <w:rPr>
                <w:rFonts w:ascii="Times New Roman" w:eastAsia="Times New Roman" w:hAnsi="Times New Roman" w:cs="Times New Roman"/>
                <w:noProof/>
                <w:spacing w:val="-3"/>
                <w:sz w:val="20"/>
                <w:szCs w:val="20"/>
                <w:lang w:val="en-US"/>
              </w:rPr>
              <w:t xml:space="preserve"> Beograd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(1991).</w:t>
            </w:r>
          </w:p>
          <w:p w14:paraId="381FC148" w14:textId="77777777" w:rsidR="00136A4F" w:rsidRPr="007415EF" w:rsidRDefault="00136A4F" w:rsidP="00136A4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54" w:after="0" w:line="223" w:lineRule="auto"/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Sotiri P., Praktikum</w:t>
            </w:r>
            <w:r w:rsidRPr="007415EF">
              <w:rPr>
                <w:rFonts w:ascii="Times New Roman" w:eastAsia="Times New Roman" w:hAnsi="Times New Roman" w:cs="Times New Roman"/>
                <w:spacing w:val="44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w w:val="128"/>
                <w:sz w:val="20"/>
                <w:szCs w:val="20"/>
              </w:rPr>
              <w:t>i</w:t>
            </w:r>
            <w:r w:rsidRPr="007415EF">
              <w:rPr>
                <w:rFonts w:ascii="Times New Roman" w:eastAsia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vitikulturës. </w:t>
            </w:r>
            <w:r w:rsidRPr="007415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 wp14:anchorId="7672FF18" wp14:editId="34B130E8">
                  <wp:simplePos x="0" y="0"/>
                  <wp:positionH relativeFrom="page">
                    <wp:posOffset>3324479</wp:posOffset>
                  </wp:positionH>
                  <wp:positionV relativeFrom="page">
                    <wp:posOffset>-3048</wp:posOffset>
                  </wp:positionV>
                  <wp:extent cx="9525" cy="9525"/>
                  <wp:effectExtent l="0" t="0" r="0" b="0"/>
                  <wp:wrapNone/>
                  <wp:docPr id="9151" name="Image9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1" name="7CF44AE0-1806-4ABB-BEDE-B74E0FA0589B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5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60288" behindDoc="0" locked="0" layoutInCell="1" allowOverlap="1" wp14:anchorId="0CAE116C" wp14:editId="0CDF073F">
                  <wp:simplePos x="0" y="0"/>
                  <wp:positionH relativeFrom="page">
                    <wp:posOffset>3324479</wp:posOffset>
                  </wp:positionH>
                  <wp:positionV relativeFrom="page">
                    <wp:posOffset>1397127</wp:posOffset>
                  </wp:positionV>
                  <wp:extent cx="9525" cy="19050"/>
                  <wp:effectExtent l="0" t="0" r="0" b="0"/>
                  <wp:wrapNone/>
                  <wp:docPr id="9152" name="Image9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2" name="537F15D3-4F11-4CFD-0F4D-102F5464D71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5EF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</w:rPr>
              <w:t>Instituti</w:t>
            </w:r>
            <w:r w:rsidRPr="007415EF">
              <w:rPr>
                <w:rFonts w:ascii="Times New Roman" w:eastAsia="Times New Roman" w:hAnsi="Times New Roman" w:cs="Times New Roman"/>
                <w:spacing w:val="-22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w w:val="129"/>
                <w:sz w:val="20"/>
                <w:szCs w:val="20"/>
              </w:rPr>
              <w:t>i</w:t>
            </w:r>
            <w:r w:rsidRPr="007415EF">
              <w:rPr>
                <w:rFonts w:ascii="Times New Roman" w:eastAsia="Times New Roman" w:hAnsi="Times New Roman" w:cs="Times New Roman"/>
                <w:spacing w:val="-25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lartë</w:t>
            </w:r>
            <w:r w:rsidRPr="007415EF">
              <w:rPr>
                <w:rFonts w:ascii="Times New Roman" w:eastAsia="Times New Roman" w:hAnsi="Times New Roman" w:cs="Times New Roman"/>
                <w:spacing w:val="-12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bujqësor.</w:t>
            </w:r>
            <w:r w:rsidRPr="007415EF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Tiranë. 1977</w:t>
            </w:r>
          </w:p>
          <w:p w14:paraId="3546A8A5" w14:textId="77777777" w:rsidR="00136A4F" w:rsidRPr="007415EF" w:rsidRDefault="00136A4F" w:rsidP="00136A4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58" w:after="0" w:line="214" w:lineRule="auto"/>
              <w:ind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Bashkim</w:t>
            </w:r>
            <w:r w:rsidRPr="007415EF">
              <w:rPr>
                <w:rFonts w:ascii="Times New Roman" w:eastAsia="Times New Roman" w:hAnsi="Times New Roman" w:cs="Times New Roman"/>
                <w:spacing w:val="301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Koronica.</w:t>
            </w:r>
            <w:r w:rsidRPr="007415EF">
              <w:rPr>
                <w:rFonts w:ascii="Times New Roman" w:eastAsia="Times New Roman" w:hAnsi="Times New Roman" w:cs="Times New Roman"/>
                <w:spacing w:val="315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(1996):</w:t>
            </w:r>
            <w:r w:rsidRPr="007415EF">
              <w:rPr>
                <w:rFonts w:ascii="Times New Roman" w:eastAsia="Times New Roman" w:hAnsi="Times New Roman" w:cs="Times New Roman"/>
                <w:spacing w:val="296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Vreshtaria.</w:t>
            </w:r>
            <w:r w:rsidRPr="007415EF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</w:rPr>
              <w:t>Universiteti</w:t>
            </w:r>
            <w:r w:rsidRPr="007415EF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w w:val="127"/>
                <w:sz w:val="20"/>
                <w:szCs w:val="20"/>
              </w:rPr>
              <w:t>i</w:t>
            </w:r>
            <w:r w:rsidRPr="007415EF">
              <w:rPr>
                <w:rFonts w:ascii="Times New Roman" w:eastAsia="Times New Roman" w:hAnsi="Times New Roman" w:cs="Times New Roman"/>
                <w:spacing w:val="-28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Prishtinës.</w:t>
            </w:r>
            <w:r w:rsidRPr="007415EF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Prishtinë.</w:t>
            </w:r>
          </w:p>
          <w:p w14:paraId="72C09256" w14:textId="77777777" w:rsidR="00136A4F" w:rsidRPr="007415EF" w:rsidRDefault="00136A4F" w:rsidP="00136A4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58" w:after="0" w:line="214" w:lineRule="auto"/>
              <w:ind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Lon</w:t>
            </w:r>
            <w:r w:rsidRPr="007415EF">
              <w:rPr>
                <w:rFonts w:ascii="Times New Roman" w:eastAsia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Rombough.</w:t>
            </w:r>
            <w:r w:rsidRPr="007415EF">
              <w:rPr>
                <w:rFonts w:ascii="Times New Roman" w:eastAsia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(2002):</w:t>
            </w:r>
            <w:r w:rsidRPr="007415EF">
              <w:rPr>
                <w:rFonts w:ascii="Times New Roman" w:eastAsia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The</w:t>
            </w:r>
            <w:r w:rsidRPr="007415EF">
              <w:rPr>
                <w:rFonts w:ascii="Times New Roman" w:eastAsia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Grape</w:t>
            </w:r>
            <w:r w:rsidRPr="007415EF">
              <w:rPr>
                <w:rFonts w:ascii="Times New Roman" w:eastAsia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Grower:</w:t>
            </w:r>
            <w:r w:rsidRPr="007415EF">
              <w:rPr>
                <w:rFonts w:ascii="Times New Roman" w:eastAsia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</w:t>
            </w:r>
            <w:r w:rsidRPr="007415EF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0"/>
              </w:rPr>
              <w:t>Guide</w:t>
            </w:r>
            <w:r w:rsidRPr="007415EF">
              <w:rPr>
                <w:rFonts w:ascii="Times New Roman" w:eastAsia="Times New Roman" w:hAnsi="Times New Roman" w:cs="Times New Roman"/>
                <w:spacing w:val="55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</w:t>
            </w:r>
            <w:r w:rsidRPr="007415EF">
              <w:rPr>
                <w:rFonts w:ascii="Times New Roman" w:eastAsia="Times New Roman" w:hAnsi="Times New Roman" w:cs="Times New Roman"/>
                <w:spacing w:val="76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Organic</w:t>
            </w:r>
            <w:r w:rsidRPr="007415EF">
              <w:rPr>
                <w:rFonts w:ascii="Times New Roman" w:eastAsia="Times New Roman" w:hAnsi="Times New Roman" w:cs="Times New Roman"/>
                <w:spacing w:val="71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Viticulture.</w:t>
            </w:r>
            <w:r w:rsidRPr="007415EF">
              <w:rPr>
                <w:rFonts w:ascii="Times New Roman" w:eastAsia="Times New Roman" w:hAnsi="Times New Roman" w:cs="Times New Roman"/>
                <w:spacing w:val="77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Chelsea</w:t>
            </w:r>
            <w:r w:rsidRPr="007415EF">
              <w:rPr>
                <w:rFonts w:ascii="Times New Roman" w:eastAsia="Times New Roman" w:hAnsi="Times New Roman" w:cs="Times New Roman"/>
                <w:spacing w:val="73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Green</w:t>
            </w:r>
            <w:r w:rsidRPr="007415EF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pacing w:val="-7"/>
                <w:sz w:val="20"/>
                <w:szCs w:val="20"/>
              </w:rPr>
              <w:t>Pub</w:t>
            </w:r>
            <w:r w:rsidRPr="007415EF">
              <w:rPr>
                <w:rFonts w:ascii="Times New Roman" w:eastAsia="Times New Roman" w:hAnsi="Times New Roman" w:cs="Times New Roman"/>
                <w:spacing w:val="-11"/>
                <w:w w:val="110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Co.</w:t>
            </w:r>
          </w:p>
          <w:p w14:paraId="60BAE99F" w14:textId="77777777" w:rsidR="00136A4F" w:rsidRPr="007415EF" w:rsidRDefault="00136A4F" w:rsidP="00136A4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58" w:after="0" w:line="214" w:lineRule="auto"/>
              <w:ind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Goldammer T., </w:t>
            </w:r>
            <w:r w:rsidRPr="007415EF">
              <w:rPr>
                <w:rFonts w:ascii="Times New Roman" w:hAnsi="Times New Roman" w:cs="Times New Roman"/>
                <w:color w:val="0F1111"/>
                <w:sz w:val="20"/>
                <w:szCs w:val="20"/>
              </w:rPr>
              <w:t xml:space="preserve">Grape Growers Handbook: A Guide </w:t>
            </w:r>
            <w:proofErr w:type="gramStart"/>
            <w:r w:rsidRPr="007415EF">
              <w:rPr>
                <w:rFonts w:ascii="Times New Roman" w:hAnsi="Times New Roman" w:cs="Times New Roman"/>
                <w:color w:val="0F1111"/>
                <w:sz w:val="20"/>
                <w:szCs w:val="20"/>
              </w:rPr>
              <w:t>To</w:t>
            </w:r>
            <w:proofErr w:type="gramEnd"/>
            <w:r w:rsidRPr="007415EF">
              <w:rPr>
                <w:rFonts w:ascii="Times New Roman" w:hAnsi="Times New Roman" w:cs="Times New Roman"/>
                <w:color w:val="0F1111"/>
                <w:sz w:val="20"/>
                <w:szCs w:val="20"/>
              </w:rPr>
              <w:t xml:space="preserve"> Viticulture for Wine Production Textbook Binding – Unabridged, 2018</w:t>
            </w:r>
          </w:p>
          <w:p w14:paraId="7DA166AE" w14:textId="77777777" w:rsidR="00136A4F" w:rsidRPr="007415EF" w:rsidRDefault="00136A4F" w:rsidP="00136A4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58" w:after="0" w:line="214" w:lineRule="auto"/>
              <w:ind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Markus K., The science of grapevines: Anatomy and physiology. Burlington, MA; Academic Press 2010.</w:t>
            </w:r>
          </w:p>
        </w:tc>
      </w:tr>
    </w:tbl>
    <w:p w14:paraId="2816F4A3" w14:textId="77777777" w:rsidR="00136A4F" w:rsidRPr="007415EF" w:rsidRDefault="00136A4F" w:rsidP="00136A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B3DEB2" w14:textId="77777777" w:rsidR="00136A4F" w:rsidRDefault="00136A4F" w:rsidP="00136A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D59A1B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11E52"/>
    <w:multiLevelType w:val="hybridMultilevel"/>
    <w:tmpl w:val="B2A260C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D4AE7"/>
    <w:multiLevelType w:val="hybridMultilevel"/>
    <w:tmpl w:val="5BD4463C"/>
    <w:lvl w:ilvl="0" w:tplc="DC600698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color w:val="000000"/>
        <w:w w:val="7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num w:numId="1" w16cid:durableId="593631306">
    <w:abstractNumId w:val="1"/>
  </w:num>
  <w:num w:numId="2" w16cid:durableId="187723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4F"/>
    <w:rsid w:val="00136A4F"/>
    <w:rsid w:val="002F71EA"/>
    <w:rsid w:val="00A220E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9889"/>
  <w15:chartTrackingRefBased/>
  <w15:docId w15:val="{835C475D-26E5-4782-A830-5E16CC43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4F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"/>
    <w:basedOn w:val="Normal"/>
    <w:uiPriority w:val="1"/>
    <w:qFormat/>
    <w:rsid w:val="00136A4F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136A4F"/>
    <w:pPr>
      <w:spacing w:after="0" w:line="240" w:lineRule="auto"/>
    </w:pPr>
    <w:rPr>
      <w:rFonts w:eastAsiaTheme="minorEastAsia"/>
      <w:kern w:val="0"/>
      <w:lang w:val="en-GB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99"/>
    <w:rsid w:val="00136A4F"/>
    <w:rPr>
      <w:rFonts w:eastAsiaTheme="minorEastAsia"/>
      <w:kern w:val="0"/>
      <w:lang w:val="en-GB"/>
      <w14:ligatures w14:val="none"/>
    </w:rPr>
  </w:style>
  <w:style w:type="table" w:styleId="TableGrid">
    <w:name w:val="Table Grid"/>
    <w:basedOn w:val="TableNormal"/>
    <w:uiPriority w:val="39"/>
    <w:rsid w:val="00136A4F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36A4F"/>
    <w:rPr>
      <w:color w:val="0000FF"/>
      <w:u w:val="single"/>
    </w:rPr>
  </w:style>
  <w:style w:type="character" w:customStyle="1" w:styleId="media-delimiter">
    <w:name w:val="media-delimiter"/>
    <w:basedOn w:val="DefaultParagraphFont"/>
    <w:rsid w:val="0013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in"/><Relationship Id="rId5" Type="http://schemas.openxmlformats.org/officeDocument/2006/relationships/hyperlink" Target="https://dama.umh.es/discovery/fulldisplay?docid=alma991000828019706331&amp;context=L&amp;vid=34CVA_UMH:VU1&amp;lang=es&amp;adaptor=Local%20Search%20Eng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2024-06-18T10:03:00Z</dcterms:created>
  <dcterms:modified xsi:type="dcterms:W3CDTF">2024-06-18T10:04:00Z</dcterms:modified>
</cp:coreProperties>
</file>