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08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198"/>
        <w:gridCol w:w="2661"/>
        <w:gridCol w:w="1319"/>
        <w:gridCol w:w="1302"/>
        <w:gridCol w:w="1605"/>
      </w:tblGrid>
      <w:tr w:rsidR="00194E20" w14:paraId="4A46CE62" w14:textId="77777777" w:rsidTr="00194E20">
        <w:trPr>
          <w:trHeight w:val="584"/>
        </w:trPr>
        <w:tc>
          <w:tcPr>
            <w:tcW w:w="219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1AA4B2D2" w14:textId="77777777" w:rsidR="00194E20" w:rsidRDefault="00194E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3B6CEB45" w14:textId="77777777" w:rsidR="00194E20" w:rsidRDefault="00194E20">
            <w:pPr>
              <w:spacing w:after="0" w:line="240" w:lineRule="auto"/>
              <w:jc w:val="center"/>
              <w:rPr>
                <w:rFonts w:ascii="Times New Roman" w:hAnsi="Times New Roman" w:cs="Times New Roman"/>
                <w:b/>
                <w:sz w:val="20"/>
                <w:szCs w:val="20"/>
              </w:rPr>
            </w:pPr>
          </w:p>
        </w:tc>
        <w:tc>
          <w:tcPr>
            <w:tcW w:w="688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5C8A8CC2" w14:textId="77777777" w:rsidR="00194E20" w:rsidRDefault="00194E20">
            <w:pPr>
              <w:spacing w:after="0" w:line="240" w:lineRule="auto"/>
              <w:rPr>
                <w:rFonts w:ascii="Times New Roman" w:hAnsi="Times New Roman" w:cs="Times New Roman"/>
                <w:b/>
                <w:bCs/>
                <w:sz w:val="20"/>
                <w:szCs w:val="20"/>
              </w:rPr>
            </w:pPr>
            <w:r>
              <w:rPr>
                <w:rFonts w:ascii="Times New Roman" w:hAnsi="Times New Roman" w:cs="Times New Roman"/>
                <w:b/>
                <w:bCs/>
                <w:color w:val="222222"/>
                <w:sz w:val="20"/>
                <w:szCs w:val="20"/>
                <w:shd w:val="clear" w:color="auto" w:fill="FFFFFF"/>
              </w:rPr>
              <w:t>Agricultural Value Chains in Developing Countries</w:t>
            </w:r>
          </w:p>
        </w:tc>
      </w:tr>
      <w:tr w:rsidR="00194E20" w14:paraId="2B0551D3" w14:textId="77777777" w:rsidTr="00194E20">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96872A0" w14:textId="77777777" w:rsidR="00194E20" w:rsidRDefault="00194E20">
            <w:pPr>
              <w:spacing w:after="0" w:line="240" w:lineRule="auto"/>
              <w:rPr>
                <w:rFonts w:ascii="Times New Roman" w:hAnsi="Times New Roman" w:cs="Times New Roman"/>
                <w:b/>
                <w:sz w:val="20"/>
                <w:szCs w:val="20"/>
              </w:rPr>
            </w:pPr>
          </w:p>
        </w:tc>
        <w:tc>
          <w:tcPr>
            <w:tcW w:w="2661" w:type="dxa"/>
            <w:tcBorders>
              <w:top w:val="nil"/>
              <w:left w:val="single" w:sz="4" w:space="0" w:color="7F7F7F" w:themeColor="text1" w:themeTint="80"/>
              <w:bottom w:val="nil"/>
              <w:right w:val="nil"/>
            </w:tcBorders>
            <w:shd w:val="clear" w:color="auto" w:fill="F2F2F2" w:themeFill="background1" w:themeFillShade="F2"/>
            <w:vAlign w:val="center"/>
          </w:tcPr>
          <w:p w14:paraId="5702229D" w14:textId="77777777" w:rsidR="00194E20" w:rsidRDefault="00194E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07F6CD9C" w14:textId="77777777" w:rsidR="00194E20" w:rsidRDefault="00194E20">
            <w:pPr>
              <w:spacing w:after="0" w:line="240" w:lineRule="auto"/>
              <w:jc w:val="center"/>
              <w:rPr>
                <w:rFonts w:ascii="Times New Roman" w:hAnsi="Times New Roman" w:cs="Times New Roman"/>
                <w:b/>
                <w:sz w:val="20"/>
                <w:szCs w:val="20"/>
              </w:rPr>
            </w:pPr>
          </w:p>
        </w:tc>
        <w:tc>
          <w:tcPr>
            <w:tcW w:w="1319" w:type="dxa"/>
            <w:tcBorders>
              <w:top w:val="nil"/>
              <w:left w:val="nil"/>
              <w:bottom w:val="nil"/>
              <w:right w:val="nil"/>
            </w:tcBorders>
            <w:shd w:val="clear" w:color="auto" w:fill="F2F2F2" w:themeFill="background1" w:themeFillShade="F2"/>
            <w:vAlign w:val="center"/>
            <w:hideMark/>
          </w:tcPr>
          <w:p w14:paraId="223A94B8" w14:textId="77777777" w:rsidR="00194E20" w:rsidRDefault="00194E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302" w:type="dxa"/>
            <w:tcBorders>
              <w:top w:val="nil"/>
              <w:left w:val="nil"/>
              <w:bottom w:val="nil"/>
              <w:right w:val="nil"/>
            </w:tcBorders>
            <w:shd w:val="clear" w:color="auto" w:fill="F2F2F2" w:themeFill="background1" w:themeFillShade="F2"/>
            <w:vAlign w:val="center"/>
            <w:hideMark/>
          </w:tcPr>
          <w:p w14:paraId="3C680F6A" w14:textId="77777777" w:rsidR="00194E20" w:rsidRDefault="00194E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605" w:type="dxa"/>
            <w:tcBorders>
              <w:top w:val="nil"/>
              <w:left w:val="nil"/>
              <w:bottom w:val="nil"/>
              <w:right w:val="single" w:sz="4" w:space="0" w:color="7F7F7F" w:themeColor="text1" w:themeTint="80"/>
            </w:tcBorders>
            <w:shd w:val="clear" w:color="auto" w:fill="F2F2F2" w:themeFill="background1" w:themeFillShade="F2"/>
            <w:vAlign w:val="center"/>
            <w:hideMark/>
          </w:tcPr>
          <w:p w14:paraId="7F2434AA" w14:textId="77777777" w:rsidR="00194E20" w:rsidRDefault="00194E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194E20" w14:paraId="65891F32" w14:textId="77777777" w:rsidTr="00194E20">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620CD12" w14:textId="77777777" w:rsidR="00194E20" w:rsidRDefault="00194E20">
            <w:pPr>
              <w:spacing w:after="0" w:line="240" w:lineRule="auto"/>
              <w:rPr>
                <w:rFonts w:ascii="Times New Roman" w:hAnsi="Times New Roman" w:cs="Times New Roman"/>
                <w:b/>
                <w:sz w:val="20"/>
                <w:szCs w:val="20"/>
              </w:rPr>
            </w:pPr>
          </w:p>
        </w:tc>
        <w:tc>
          <w:tcPr>
            <w:tcW w:w="2661" w:type="dxa"/>
            <w:tcBorders>
              <w:top w:val="nil"/>
              <w:left w:val="single" w:sz="4" w:space="0" w:color="7F7F7F" w:themeColor="text1" w:themeTint="80"/>
              <w:bottom w:val="single" w:sz="4" w:space="0" w:color="7F7F7F" w:themeColor="text1" w:themeTint="80"/>
              <w:right w:val="nil"/>
            </w:tcBorders>
            <w:vAlign w:val="center"/>
          </w:tcPr>
          <w:p w14:paraId="3367CE9B" w14:textId="77777777" w:rsidR="00194E20" w:rsidRDefault="00194E20">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(O)</w:t>
            </w:r>
          </w:p>
          <w:p w14:paraId="306DEA73" w14:textId="77777777" w:rsidR="00194E20" w:rsidRDefault="00194E20">
            <w:pPr>
              <w:spacing w:after="0" w:line="240" w:lineRule="auto"/>
              <w:rPr>
                <w:rFonts w:ascii="Times New Roman" w:hAnsi="Times New Roman" w:cs="Times New Roman"/>
                <w:color w:val="404040" w:themeColor="text1" w:themeTint="BF"/>
                <w:sz w:val="20"/>
                <w:szCs w:val="20"/>
              </w:rPr>
            </w:pPr>
          </w:p>
        </w:tc>
        <w:tc>
          <w:tcPr>
            <w:tcW w:w="1319" w:type="dxa"/>
            <w:tcBorders>
              <w:top w:val="nil"/>
              <w:left w:val="nil"/>
              <w:bottom w:val="single" w:sz="4" w:space="0" w:color="7F7F7F" w:themeColor="text1" w:themeTint="80"/>
              <w:right w:val="nil"/>
            </w:tcBorders>
            <w:vAlign w:val="center"/>
            <w:hideMark/>
          </w:tcPr>
          <w:p w14:paraId="03C804F7" w14:textId="77777777" w:rsidR="00194E20" w:rsidRDefault="00194E20">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III</w:t>
            </w:r>
          </w:p>
        </w:tc>
        <w:tc>
          <w:tcPr>
            <w:tcW w:w="1302" w:type="dxa"/>
            <w:tcBorders>
              <w:top w:val="nil"/>
              <w:left w:val="nil"/>
              <w:bottom w:val="single" w:sz="4" w:space="0" w:color="7F7F7F" w:themeColor="text1" w:themeTint="80"/>
              <w:right w:val="nil"/>
            </w:tcBorders>
            <w:vAlign w:val="center"/>
            <w:hideMark/>
          </w:tcPr>
          <w:p w14:paraId="2B731A46" w14:textId="77777777" w:rsidR="00194E20" w:rsidRDefault="00194E20">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6</w:t>
            </w:r>
          </w:p>
        </w:tc>
        <w:tc>
          <w:tcPr>
            <w:tcW w:w="1605" w:type="dxa"/>
            <w:tcBorders>
              <w:top w:val="nil"/>
              <w:left w:val="nil"/>
              <w:bottom w:val="single" w:sz="4" w:space="0" w:color="7F7F7F" w:themeColor="text1" w:themeTint="80"/>
              <w:right w:val="single" w:sz="4" w:space="0" w:color="7F7F7F" w:themeColor="text1" w:themeTint="80"/>
            </w:tcBorders>
            <w:vAlign w:val="center"/>
            <w:hideMark/>
          </w:tcPr>
          <w:p w14:paraId="79C3BF26" w14:textId="77777777" w:rsidR="00194E20" w:rsidRDefault="00194E20">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194E20" w14:paraId="01BB3A1C" w14:textId="77777777" w:rsidTr="00194E20">
        <w:tc>
          <w:tcPr>
            <w:tcW w:w="21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87EADE2" w14:textId="77777777" w:rsidR="00194E20" w:rsidRDefault="00194E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688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0EE1A673" w14:textId="77777777" w:rsidR="00194E20" w:rsidRDefault="00194E20">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252525"/>
                <w:spacing w:val="5"/>
                <w:sz w:val="20"/>
                <w:szCs w:val="20"/>
                <w:shd w:val="clear" w:color="auto" w:fill="FFFFFF"/>
              </w:rPr>
              <w:t>By focusing on agricultural value chain analysis, the course will target students who want to understand the mechanisms that govern agribusiness in developing countries. The analytical steps include mapping and characterizing agricultural-based value chains, and addressing barriers to entry, value-added and distribution, upgrading opportunities, chain governance, and critical factors in the enabling environment. The course will be useful for professionals working in international agricultural development organizations, agribusiness research, donor organizations, public agencies, national extension services, agribusiness development services, and private agribusiness enterprises.</w:t>
            </w:r>
          </w:p>
        </w:tc>
      </w:tr>
      <w:tr w:rsidR="00194E20" w14:paraId="579AC55D" w14:textId="77777777" w:rsidTr="00194E20">
        <w:tc>
          <w:tcPr>
            <w:tcW w:w="21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06B0FDB8" w14:textId="77777777" w:rsidR="00194E20" w:rsidRDefault="00194E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688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F024281" w14:textId="77777777" w:rsidR="00194E20" w:rsidRDefault="00194E20">
            <w:pPr>
              <w:pStyle w:val="NormalWeb"/>
              <w:shd w:val="clear" w:color="auto" w:fill="FFFFFF"/>
              <w:rPr>
                <w:color w:val="252525"/>
                <w:spacing w:val="5"/>
                <w:sz w:val="20"/>
                <w:szCs w:val="20"/>
              </w:rPr>
            </w:pPr>
            <w:r>
              <w:rPr>
                <w:color w:val="252525"/>
                <w:spacing w:val="5"/>
                <w:sz w:val="20"/>
                <w:szCs w:val="20"/>
              </w:rPr>
              <w:t>After completing the course, the students should be able to:</w:t>
            </w:r>
          </w:p>
          <w:p w14:paraId="24BE2459" w14:textId="77777777" w:rsidR="00194E20" w:rsidRDefault="00194E20">
            <w:pPr>
              <w:pStyle w:val="NormalWeb"/>
              <w:shd w:val="clear" w:color="auto" w:fill="FFFFFF"/>
              <w:rPr>
                <w:color w:val="252525"/>
                <w:spacing w:val="5"/>
                <w:sz w:val="20"/>
                <w:szCs w:val="20"/>
              </w:rPr>
            </w:pPr>
            <w:r>
              <w:rPr>
                <w:color w:val="252525"/>
                <w:spacing w:val="5"/>
                <w:sz w:val="20"/>
                <w:szCs w:val="20"/>
              </w:rPr>
              <w:t>Knowledge</w:t>
            </w:r>
          </w:p>
          <w:p w14:paraId="2D853E8E" w14:textId="77777777" w:rsidR="00194E20" w:rsidRDefault="00194E20" w:rsidP="00671CDD">
            <w:pPr>
              <w:numPr>
                <w:ilvl w:val="0"/>
                <w:numId w:val="1"/>
              </w:numPr>
              <w:shd w:val="clear" w:color="auto" w:fill="FFFFFF"/>
              <w:spacing w:before="100" w:beforeAutospacing="1" w:after="100" w:afterAutospacing="1" w:line="240" w:lineRule="auto"/>
              <w:rPr>
                <w:rFonts w:ascii="Times New Roman" w:hAnsi="Times New Roman" w:cs="Times New Roman"/>
                <w:color w:val="252525"/>
                <w:spacing w:val="5"/>
                <w:sz w:val="20"/>
                <w:szCs w:val="20"/>
              </w:rPr>
            </w:pPr>
            <w:r>
              <w:rPr>
                <w:rFonts w:ascii="Times New Roman" w:hAnsi="Times New Roman" w:cs="Times New Roman"/>
                <w:color w:val="252525"/>
                <w:spacing w:val="5"/>
                <w:sz w:val="20"/>
                <w:szCs w:val="20"/>
              </w:rPr>
              <w:t>Describe and define agricultural value chain-related terminology and concepts</w:t>
            </w:r>
          </w:p>
          <w:p w14:paraId="6BBD875A" w14:textId="77777777" w:rsidR="00194E20" w:rsidRDefault="00194E20" w:rsidP="00671CDD">
            <w:pPr>
              <w:numPr>
                <w:ilvl w:val="0"/>
                <w:numId w:val="1"/>
              </w:numPr>
              <w:shd w:val="clear" w:color="auto" w:fill="FFFFFF"/>
              <w:spacing w:before="100" w:beforeAutospacing="1" w:after="100" w:afterAutospacing="1" w:line="240" w:lineRule="auto"/>
              <w:rPr>
                <w:rFonts w:ascii="Times New Roman" w:hAnsi="Times New Roman" w:cs="Times New Roman"/>
                <w:color w:val="252525"/>
                <w:spacing w:val="5"/>
                <w:sz w:val="20"/>
                <w:szCs w:val="20"/>
              </w:rPr>
            </w:pPr>
            <w:r>
              <w:rPr>
                <w:rFonts w:ascii="Times New Roman" w:hAnsi="Times New Roman" w:cs="Times New Roman"/>
                <w:color w:val="252525"/>
                <w:spacing w:val="5"/>
                <w:sz w:val="20"/>
                <w:szCs w:val="20"/>
              </w:rPr>
              <w:t>Refer to the theoretical stream of value chain literature</w:t>
            </w:r>
          </w:p>
          <w:p w14:paraId="60FE899F" w14:textId="77777777" w:rsidR="00194E20" w:rsidRDefault="00194E20" w:rsidP="00671CDD">
            <w:pPr>
              <w:numPr>
                <w:ilvl w:val="0"/>
                <w:numId w:val="1"/>
              </w:numPr>
              <w:shd w:val="clear" w:color="auto" w:fill="FFFFFF"/>
              <w:spacing w:before="100" w:beforeAutospacing="1" w:after="100" w:afterAutospacing="1" w:line="240" w:lineRule="auto"/>
              <w:rPr>
                <w:rFonts w:ascii="Times New Roman" w:hAnsi="Times New Roman" w:cs="Times New Roman"/>
                <w:color w:val="252525"/>
                <w:spacing w:val="5"/>
                <w:sz w:val="20"/>
                <w:szCs w:val="20"/>
              </w:rPr>
            </w:pPr>
            <w:r>
              <w:rPr>
                <w:rFonts w:ascii="Times New Roman" w:hAnsi="Times New Roman" w:cs="Times New Roman"/>
                <w:color w:val="252525"/>
                <w:spacing w:val="5"/>
                <w:sz w:val="20"/>
                <w:szCs w:val="20"/>
              </w:rPr>
              <w:t>Understand the main value chain analysis approaches and their application</w:t>
            </w:r>
          </w:p>
          <w:p w14:paraId="1FF27167" w14:textId="77777777" w:rsidR="00194E20" w:rsidRDefault="00194E20" w:rsidP="00671CDD">
            <w:pPr>
              <w:numPr>
                <w:ilvl w:val="0"/>
                <w:numId w:val="1"/>
              </w:numPr>
              <w:shd w:val="clear" w:color="auto" w:fill="FFFFFF"/>
              <w:spacing w:before="100" w:beforeAutospacing="1" w:after="100" w:afterAutospacing="1" w:line="240" w:lineRule="auto"/>
              <w:rPr>
                <w:rFonts w:ascii="Times New Roman" w:hAnsi="Times New Roman" w:cs="Times New Roman"/>
                <w:color w:val="252525"/>
                <w:spacing w:val="5"/>
                <w:sz w:val="20"/>
                <w:szCs w:val="20"/>
              </w:rPr>
            </w:pPr>
            <w:r>
              <w:rPr>
                <w:rFonts w:ascii="Times New Roman" w:hAnsi="Times New Roman" w:cs="Times New Roman"/>
                <w:color w:val="252525"/>
                <w:spacing w:val="5"/>
                <w:sz w:val="20"/>
                <w:szCs w:val="20"/>
              </w:rPr>
              <w:t>Understand the complexity of institutional and governance dynamics of the agricultural sector in developing countries</w:t>
            </w:r>
          </w:p>
          <w:p w14:paraId="32F551B0" w14:textId="77777777" w:rsidR="00194E20" w:rsidRDefault="00194E20" w:rsidP="00671CDD">
            <w:pPr>
              <w:numPr>
                <w:ilvl w:val="0"/>
                <w:numId w:val="1"/>
              </w:numPr>
              <w:shd w:val="clear" w:color="auto" w:fill="FFFFFF"/>
              <w:spacing w:before="100" w:beforeAutospacing="1" w:after="100" w:afterAutospacing="1" w:line="240" w:lineRule="auto"/>
              <w:rPr>
                <w:rFonts w:ascii="Times New Roman" w:hAnsi="Times New Roman" w:cs="Times New Roman"/>
                <w:color w:val="252525"/>
                <w:spacing w:val="5"/>
                <w:sz w:val="20"/>
                <w:szCs w:val="20"/>
              </w:rPr>
            </w:pPr>
            <w:r>
              <w:rPr>
                <w:rFonts w:ascii="Times New Roman" w:hAnsi="Times New Roman" w:cs="Times New Roman"/>
                <w:color w:val="252525"/>
                <w:spacing w:val="5"/>
                <w:sz w:val="20"/>
                <w:szCs w:val="20"/>
              </w:rPr>
              <w:t>Describe the role of agriculture in economic development in developing countries</w:t>
            </w:r>
          </w:p>
          <w:p w14:paraId="084B9B8A" w14:textId="77777777" w:rsidR="00194E20" w:rsidRDefault="00194E20">
            <w:pPr>
              <w:pStyle w:val="BodyText"/>
              <w:tabs>
                <w:tab w:val="num" w:pos="450"/>
                <w:tab w:val="num" w:pos="900"/>
              </w:tabs>
              <w:ind w:left="360"/>
              <w:rPr>
                <w:sz w:val="20"/>
                <w:szCs w:val="20"/>
                <w:lang w:val="sq-AL"/>
              </w:rPr>
            </w:pPr>
          </w:p>
        </w:tc>
      </w:tr>
      <w:tr w:rsidR="00194E20" w14:paraId="0DF54A62" w14:textId="77777777" w:rsidTr="00194E20">
        <w:tc>
          <w:tcPr>
            <w:tcW w:w="21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67925E85" w14:textId="77777777" w:rsidR="00194E20" w:rsidRDefault="00194E20">
            <w:pPr>
              <w:spacing w:after="0" w:line="240" w:lineRule="auto"/>
              <w:jc w:val="center"/>
              <w:rPr>
                <w:rFonts w:ascii="Times New Roman" w:hAnsi="Times New Roman" w:cs="Times New Roman"/>
                <w:b/>
                <w:color w:val="404040" w:themeColor="text1" w:themeTint="BF"/>
                <w:sz w:val="20"/>
                <w:szCs w:val="20"/>
              </w:rPr>
            </w:pPr>
            <w:r>
              <w:rPr>
                <w:rFonts w:ascii="Times New Roman" w:hAnsi="Times New Roman" w:cs="Times New Roman"/>
                <w:b/>
                <w:color w:val="404040" w:themeColor="text1" w:themeTint="BF"/>
                <w:sz w:val="20"/>
                <w:szCs w:val="20"/>
              </w:rPr>
              <w:t>Literature/References</w:t>
            </w:r>
          </w:p>
        </w:tc>
        <w:tc>
          <w:tcPr>
            <w:tcW w:w="6887" w:type="dxa"/>
            <w:gridSpan w:val="4"/>
            <w:tcBorders>
              <w:top w:val="single" w:sz="4" w:space="0" w:color="auto"/>
              <w:left w:val="nil"/>
              <w:bottom w:val="single" w:sz="4" w:space="0" w:color="7F7F7F" w:themeColor="text1" w:themeTint="80"/>
              <w:right w:val="single" w:sz="4" w:space="0" w:color="7F7F7F" w:themeColor="text1" w:themeTint="80"/>
            </w:tcBorders>
          </w:tcPr>
          <w:p w14:paraId="7540F712" w14:textId="77777777" w:rsidR="00194E20" w:rsidRDefault="00194E20">
            <w:pPr>
              <w:pStyle w:val="Heading1"/>
              <w:shd w:val="clear" w:color="auto" w:fill="FFFFFF"/>
              <w:spacing w:before="0" w:line="240" w:lineRule="auto"/>
              <w:rPr>
                <w:rFonts w:ascii="Times New Roman" w:eastAsiaTheme="minorHAnsi" w:hAnsi="Times New Roman" w:cs="Times New Roman"/>
                <w:b w:val="0"/>
                <w:color w:val="404040" w:themeColor="text1" w:themeTint="BF"/>
                <w:sz w:val="20"/>
                <w:szCs w:val="20"/>
                <w:lang w:val="en-GB"/>
              </w:rPr>
            </w:pPr>
            <w:r>
              <w:rPr>
                <w:rFonts w:ascii="Times New Roman" w:eastAsiaTheme="minorHAnsi" w:hAnsi="Times New Roman" w:cs="Times New Roman"/>
                <w:b w:val="0"/>
                <w:color w:val="404040" w:themeColor="text1" w:themeTint="BF"/>
                <w:sz w:val="20"/>
                <w:szCs w:val="20"/>
                <w:lang w:val="en-GB"/>
              </w:rPr>
              <w:t>1. A synthesis of key literature, supplemented with key articles and reports as well as online videos. All available on the Moodle course page.</w:t>
            </w:r>
          </w:p>
          <w:p w14:paraId="585356D0" w14:textId="77777777" w:rsidR="00194E20" w:rsidRDefault="00194E20">
            <w:pPr>
              <w:pStyle w:val="Heading1"/>
              <w:shd w:val="clear" w:color="auto" w:fill="FFFFFF"/>
              <w:spacing w:before="0" w:line="240" w:lineRule="auto"/>
              <w:rPr>
                <w:rFonts w:ascii="Times New Roman" w:eastAsiaTheme="minorHAnsi" w:hAnsi="Times New Roman" w:cs="Times New Roman"/>
                <w:b w:val="0"/>
                <w:color w:val="404040" w:themeColor="text1" w:themeTint="BF"/>
                <w:sz w:val="20"/>
                <w:szCs w:val="20"/>
                <w:lang w:val="en-GB"/>
              </w:rPr>
            </w:pPr>
          </w:p>
          <w:p w14:paraId="10364B59" w14:textId="77777777" w:rsidR="00194E20" w:rsidRDefault="00194E20">
            <w:pPr>
              <w:spacing w:after="0" w:line="240" w:lineRule="auto"/>
              <w:jc w:val="both"/>
              <w:rPr>
                <w:rFonts w:ascii="Times New Roman" w:hAnsi="Times New Roman" w:cs="Times New Roman"/>
                <w:bCs/>
                <w:color w:val="404040" w:themeColor="text1" w:themeTint="BF"/>
                <w:sz w:val="20"/>
                <w:szCs w:val="20"/>
              </w:rPr>
            </w:pPr>
          </w:p>
        </w:tc>
      </w:tr>
    </w:tbl>
    <w:p w14:paraId="67F45D78"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2915CA"/>
    <w:multiLevelType w:val="multilevel"/>
    <w:tmpl w:val="1084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286614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20"/>
    <w:rsid w:val="00194E20"/>
    <w:rsid w:val="002F71EA"/>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2BF5"/>
  <w15:chartTrackingRefBased/>
  <w15:docId w15:val="{FCAEFB46-F6E8-4997-9F5C-2C47567B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20"/>
    <w:pPr>
      <w:spacing w:after="200" w:line="276" w:lineRule="auto"/>
    </w:pPr>
    <w:rPr>
      <w:rFonts w:eastAsiaTheme="minorEastAsia"/>
      <w:kern w:val="0"/>
      <w14:ligatures w14:val="none"/>
    </w:rPr>
  </w:style>
  <w:style w:type="paragraph" w:styleId="Heading1">
    <w:name w:val="heading 1"/>
    <w:basedOn w:val="Normal"/>
    <w:next w:val="Normal"/>
    <w:link w:val="Heading1Char"/>
    <w:uiPriority w:val="9"/>
    <w:qFormat/>
    <w:rsid w:val="00194E20"/>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20"/>
    <w:rPr>
      <w:rFonts w:asciiTheme="majorHAnsi" w:eastAsiaTheme="majorEastAsia" w:hAnsiTheme="majorHAnsi" w:cstheme="majorBidi"/>
      <w:b/>
      <w:kern w:val="0"/>
      <w:sz w:val="24"/>
      <w:szCs w:val="32"/>
      <w14:ligatures w14:val="none"/>
    </w:rPr>
  </w:style>
  <w:style w:type="paragraph" w:styleId="NormalWeb">
    <w:name w:val="Normal (Web)"/>
    <w:basedOn w:val="Normal"/>
    <w:uiPriority w:val="99"/>
    <w:semiHidden/>
    <w:unhideWhenUsed/>
    <w:rsid w:val="00194E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94E2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94E20"/>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194E20"/>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1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2024-06-18T10:35:00Z</dcterms:created>
  <dcterms:modified xsi:type="dcterms:W3CDTF">2024-06-18T10:35:00Z</dcterms:modified>
</cp:coreProperties>
</file>