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5" w:type="dxa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73"/>
        <w:gridCol w:w="2595"/>
        <w:gridCol w:w="1339"/>
        <w:gridCol w:w="1292"/>
        <w:gridCol w:w="1856"/>
      </w:tblGrid>
      <w:tr w:rsidR="00267DEA" w14:paraId="22433032" w14:textId="77777777" w:rsidTr="00267DEA">
        <w:trPr>
          <w:trHeight w:val="584"/>
        </w:trPr>
        <w:tc>
          <w:tcPr>
            <w:tcW w:w="22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4EB3E1BE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  <w:p w14:paraId="65E8157B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138CF943" w14:textId="77777777" w:rsidR="00267DEA" w:rsidRDefault="00267D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Advanced Beekeeping</w:t>
            </w:r>
          </w:p>
        </w:tc>
      </w:tr>
      <w:tr w:rsidR="00267DEA" w14:paraId="047D333F" w14:textId="77777777" w:rsidTr="00267DEA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69CB221" w14:textId="77777777" w:rsidR="00267DEA" w:rsidRDefault="00267D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6A45CC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  <w:p w14:paraId="3C048A96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45706A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F656C5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C6B8940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</w:tr>
      <w:tr w:rsidR="00267DEA" w14:paraId="72130B36" w14:textId="77777777" w:rsidTr="00267DEA">
        <w:trPr>
          <w:trHeight w:hRule="exact" w:val="27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223A6F1" w14:textId="77777777" w:rsidR="00267DEA" w:rsidRDefault="00267D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CC84816" w14:textId="77777777" w:rsidR="00267DEA" w:rsidRDefault="00267DE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                        Z</w:t>
            </w:r>
          </w:p>
          <w:p w14:paraId="6A825A58" w14:textId="77777777" w:rsidR="00267DEA" w:rsidRDefault="00267DE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5D0C075" w14:textId="77777777" w:rsidR="00267DEA" w:rsidRDefault="00267DE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    III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473FDDA" w14:textId="77777777" w:rsidR="00267DEA" w:rsidRDefault="00267DE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  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0DE7AA0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/</w:t>
            </w:r>
          </w:p>
        </w:tc>
      </w:tr>
      <w:tr w:rsidR="00267DEA" w14:paraId="4B4FDC6B" w14:textId="77777777" w:rsidTr="00267DEA">
        <w:tc>
          <w:tcPr>
            <w:tcW w:w="2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FA21492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708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7FC1774" w14:textId="77777777" w:rsidR="00267DEA" w:rsidRDefault="002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Through the module program students will be able to analyzed:</w:t>
            </w:r>
          </w:p>
          <w:p w14:paraId="4D1CA4FE" w14:textId="77777777" w:rsidR="00267DEA" w:rsidRDefault="002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importance of bees in the economy, the anatomy and physiology of the bee, the infrastructure of bees with smart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teknology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bee feeding, the role of bees in plant production with a focus on pollination of plants and the effects on increasing yields in agricultural crops, the annual calendar of work in beekeeping, the products of bees: honey, wax, pollen, propolis, milk and bee venom. Breeding of bees,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harvesting, storage, packaging and sale of bee products, organoleptic,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-chemical, microbiological analyzes and waste. hygiene, environment, bee diseases and their treatment.</w:t>
            </w:r>
          </w:p>
          <w:p w14:paraId="5EF274AC" w14:textId="77777777" w:rsidR="00267DEA" w:rsidRDefault="002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Main objectives:</w:t>
            </w:r>
          </w:p>
          <w:p w14:paraId="1672C081" w14:textId="77777777" w:rsidR="00267DEA" w:rsidRDefault="0026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Breeding and contemporary techniques advanced in beekeeping with the aim of maximum production of bee products with special emphasis on honey, product quality, well-being and the environment.</w:t>
            </w:r>
          </w:p>
        </w:tc>
      </w:tr>
      <w:tr w:rsidR="00267DEA" w14:paraId="55377CEF" w14:textId="77777777" w:rsidTr="00267DEA">
        <w:tc>
          <w:tcPr>
            <w:tcW w:w="2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1C7E09E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08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C00EEE0" w14:textId="77777777" w:rsidR="00267DEA" w:rsidRDefault="00267DEA">
            <w:pPr>
              <w:pStyle w:val="BodyText"/>
              <w:tabs>
                <w:tab w:val="num" w:pos="450"/>
                <w:tab w:val="num" w:pos="900"/>
              </w:tabs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After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completing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this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course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, the student </w:t>
            </w:r>
            <w:proofErr w:type="spellStart"/>
            <w:r>
              <w:rPr>
                <w:sz w:val="20"/>
                <w:szCs w:val="20"/>
                <w:lang w:val="sq-AL"/>
              </w:rPr>
              <w:t>will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be </w:t>
            </w:r>
            <w:proofErr w:type="spellStart"/>
            <w:r>
              <w:rPr>
                <w:sz w:val="20"/>
                <w:szCs w:val="20"/>
                <w:lang w:val="sq-AL"/>
              </w:rPr>
              <w:t>able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to:</w:t>
            </w:r>
          </w:p>
          <w:p w14:paraId="4AD913A4" w14:textId="77777777" w:rsidR="00267DEA" w:rsidRDefault="00267DEA">
            <w:pPr>
              <w:pStyle w:val="BodyText"/>
              <w:tabs>
                <w:tab w:val="num" w:pos="450"/>
                <w:tab w:val="num" w:pos="900"/>
              </w:tabs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sq-AL"/>
              </w:rPr>
              <w:t>Know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analyze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apiaries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q-AL"/>
              </w:rPr>
              <w:t>bees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their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products</w:t>
            </w:r>
            <w:proofErr w:type="spellEnd"/>
            <w:r>
              <w:rPr>
                <w:sz w:val="20"/>
                <w:szCs w:val="20"/>
                <w:lang w:val="sq-AL"/>
              </w:rPr>
              <w:t>.</w:t>
            </w:r>
          </w:p>
          <w:p w14:paraId="04D3559F" w14:textId="77777777" w:rsidR="00267DEA" w:rsidRDefault="00267DEA">
            <w:pPr>
              <w:pStyle w:val="BodyText"/>
              <w:tabs>
                <w:tab w:val="num" w:pos="450"/>
                <w:tab w:val="num" w:pos="900"/>
              </w:tabs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-</w:t>
            </w:r>
            <w:proofErr w:type="spellStart"/>
            <w:r>
              <w:rPr>
                <w:sz w:val="20"/>
                <w:szCs w:val="20"/>
                <w:lang w:val="sq-AL"/>
              </w:rPr>
              <w:t>Give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recommendations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to </w:t>
            </w:r>
            <w:proofErr w:type="spellStart"/>
            <w:r>
              <w:rPr>
                <w:sz w:val="20"/>
                <w:szCs w:val="20"/>
                <w:lang w:val="sq-AL"/>
              </w:rPr>
              <w:t>producers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for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advanced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technologies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sq-AL"/>
              </w:rPr>
              <w:t>beekeeping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with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sz w:val="20"/>
                <w:szCs w:val="20"/>
                <w:lang w:val="sq-AL"/>
              </w:rPr>
              <w:t>aim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maximizing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products</w:t>
            </w:r>
            <w:proofErr w:type="spellEnd"/>
            <w:r>
              <w:rPr>
                <w:sz w:val="20"/>
                <w:szCs w:val="20"/>
                <w:lang w:val="sq-AL"/>
              </w:rPr>
              <w:t>.</w:t>
            </w:r>
          </w:p>
          <w:p w14:paraId="3A885C79" w14:textId="77777777" w:rsidR="00267DEA" w:rsidRDefault="00267DEA">
            <w:pPr>
              <w:pStyle w:val="BodyText"/>
              <w:tabs>
                <w:tab w:val="num" w:pos="450"/>
                <w:tab w:val="num" w:pos="900"/>
              </w:tabs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-</w:t>
            </w:r>
            <w:proofErr w:type="spellStart"/>
            <w:r>
              <w:rPr>
                <w:sz w:val="20"/>
                <w:szCs w:val="20"/>
                <w:lang w:val="sq-AL"/>
              </w:rPr>
              <w:t>Analyze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bee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food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bee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products</w:t>
            </w:r>
            <w:proofErr w:type="spellEnd"/>
            <w:r>
              <w:rPr>
                <w:sz w:val="20"/>
                <w:szCs w:val="20"/>
                <w:lang w:val="sq-AL"/>
              </w:rPr>
              <w:t>.</w:t>
            </w:r>
          </w:p>
          <w:p w14:paraId="1C507223" w14:textId="77777777" w:rsidR="00267DEA" w:rsidRDefault="00267DEA">
            <w:pPr>
              <w:pStyle w:val="BodyText"/>
              <w:tabs>
                <w:tab w:val="num" w:pos="450"/>
                <w:tab w:val="num" w:pos="900"/>
              </w:tabs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-</w:t>
            </w:r>
            <w:proofErr w:type="spellStart"/>
            <w:r>
              <w:rPr>
                <w:sz w:val="20"/>
                <w:szCs w:val="20"/>
                <w:lang w:val="sq-AL"/>
              </w:rPr>
              <w:t>Analyze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welfare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q-AL"/>
              </w:rPr>
              <w:t>prevention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q-AL"/>
              </w:rPr>
              <w:t>environment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innovations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sq-AL"/>
              </w:rPr>
              <w:t>beekeeping</w:t>
            </w:r>
            <w:proofErr w:type="spellEnd"/>
            <w:r>
              <w:rPr>
                <w:sz w:val="20"/>
                <w:szCs w:val="20"/>
                <w:lang w:val="sq-AL"/>
              </w:rPr>
              <w:t>.</w:t>
            </w:r>
          </w:p>
        </w:tc>
      </w:tr>
      <w:tr w:rsidR="00267DEA" w14:paraId="3C88C6C8" w14:textId="77777777" w:rsidTr="00267DEA">
        <w:tc>
          <w:tcPr>
            <w:tcW w:w="2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CC0BCF5" w14:textId="77777777" w:rsidR="00267DEA" w:rsidRDefault="002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Literature/References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91DDE92" w14:textId="77777777" w:rsidR="00267DEA" w:rsidRDefault="00267D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Sena.L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Cikël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leksionesh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Mbarështrimi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Bletëve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”. 2017 </w:t>
            </w:r>
          </w:p>
          <w:p w14:paraId="29F0392B" w14:textId="77777777" w:rsidR="00267DEA" w:rsidRDefault="00267D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Anderson D – Improving queen bee production. 2004 </w:t>
            </w:r>
          </w:p>
          <w:p w14:paraId="7FCDEDF3" w14:textId="77777777" w:rsidR="00267DEA" w:rsidRDefault="00267D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Clive de Bruyn - Practical Beekeeping, 2003 </w:t>
            </w:r>
          </w:p>
          <w:p w14:paraId="1A2E807C" w14:textId="77777777" w:rsidR="00267DEA" w:rsidRDefault="00267D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Cramp David – A practical manual of beekeeping.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  Delaplane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K.S. 2006. Honey Bees and Beekeeping: A Year in the Life of an Apiary, 3rd Edition. The Georgia Center for Continuing Education, Athens, USA. </w:t>
            </w:r>
          </w:p>
          <w:p w14:paraId="0503DC9B" w14:textId="77777777" w:rsidR="00267DEA" w:rsidRDefault="00267D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Gamberini Angelo.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Coniglicoltura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1993 </w:t>
            </w:r>
          </w:p>
          <w:p w14:paraId="0032EBB2" w14:textId="77777777" w:rsidR="00267DEA" w:rsidRDefault="00267D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Ross, C. Natural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Beekeeping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Organic Approaches to Modern Apiculture, White River Junction.</w:t>
            </w:r>
          </w:p>
        </w:tc>
      </w:tr>
    </w:tbl>
    <w:p w14:paraId="663ECC8F" w14:textId="77777777" w:rsidR="00267DEA" w:rsidRDefault="00267DEA" w:rsidP="00267DEA">
      <w:pPr>
        <w:rPr>
          <w:rFonts w:ascii="Times New Roman" w:hAnsi="Times New Roman" w:cs="Times New Roman"/>
          <w:sz w:val="24"/>
          <w:szCs w:val="24"/>
        </w:rPr>
      </w:pPr>
    </w:p>
    <w:p w14:paraId="123A7360" w14:textId="77777777" w:rsidR="00267DEA" w:rsidRDefault="00267DEA" w:rsidP="00267DEA">
      <w:pPr>
        <w:rPr>
          <w:rFonts w:ascii="Times New Roman" w:hAnsi="Times New Roman" w:cs="Times New Roman"/>
          <w:sz w:val="24"/>
          <w:szCs w:val="24"/>
        </w:rPr>
      </w:pPr>
    </w:p>
    <w:p w14:paraId="705FB716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EA"/>
    <w:rsid w:val="00267DEA"/>
    <w:rsid w:val="002F71EA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B608"/>
  <w15:chartTrackingRefBased/>
  <w15:docId w15:val="{B24A6397-611C-4247-B09D-4C85F581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EA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67D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DE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267DEA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267DEA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2024-06-18T10:33:00Z</dcterms:created>
  <dcterms:modified xsi:type="dcterms:W3CDTF">2024-06-18T10:33:00Z</dcterms:modified>
</cp:coreProperties>
</file>