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4"/>
        <w:gridCol w:w="2931"/>
        <w:gridCol w:w="1234"/>
        <w:gridCol w:w="1297"/>
        <w:gridCol w:w="1916"/>
      </w:tblGrid>
      <w:tr w:rsidR="00954500" w14:paraId="4500695D" w14:textId="77777777" w:rsidTr="00954500">
        <w:trPr>
          <w:trHeight w:val="570"/>
        </w:trPr>
        <w:tc>
          <w:tcPr>
            <w:tcW w:w="2244"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13184395"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Subject</w:t>
            </w:r>
            <w:r>
              <w:rPr>
                <w:rFonts w:ascii="Times New Roman" w:eastAsia="Times New Roman" w:hAnsi="Times New Roman" w:cs="Times New Roman"/>
                <w:color w:val="000000"/>
                <w:sz w:val="20"/>
                <w:szCs w:val="20"/>
              </w:rPr>
              <w:t> </w:t>
            </w:r>
          </w:p>
          <w:p w14:paraId="24E5577D"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7378" w:type="dxa"/>
            <w:gridSpan w:val="4"/>
            <w:tcBorders>
              <w:top w:val="single" w:sz="6" w:space="0" w:color="7F7F7F"/>
              <w:left w:val="single" w:sz="6" w:space="0" w:color="7F7F7F"/>
              <w:bottom w:val="nil"/>
              <w:right w:val="single" w:sz="6" w:space="0" w:color="7F7F7F"/>
            </w:tcBorders>
            <w:vAlign w:val="center"/>
            <w:hideMark/>
          </w:tcPr>
          <w:p w14:paraId="0D5A1E45"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RAW MATERIALS OF ANIMAL ORIGIN </w:t>
            </w:r>
            <w:r>
              <w:rPr>
                <w:rFonts w:ascii="Times New Roman" w:eastAsia="Times New Roman" w:hAnsi="Times New Roman" w:cs="Times New Roman"/>
                <w:sz w:val="20"/>
                <w:szCs w:val="20"/>
              </w:rPr>
              <w:t> </w:t>
            </w:r>
          </w:p>
          <w:p w14:paraId="5547F7F6"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954500" w14:paraId="247E31D4" w14:textId="77777777" w:rsidTr="00954500">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3BD6FC30" w14:textId="77777777" w:rsidR="00954500" w:rsidRDefault="00954500">
            <w:pPr>
              <w:spacing w:after="0"/>
              <w:rPr>
                <w:rFonts w:ascii="Times New Roman" w:eastAsia="Times New Roman" w:hAnsi="Times New Roman" w:cs="Times New Roman"/>
                <w:sz w:val="20"/>
                <w:szCs w:val="20"/>
              </w:rPr>
            </w:pPr>
          </w:p>
        </w:tc>
        <w:tc>
          <w:tcPr>
            <w:tcW w:w="2931" w:type="dxa"/>
            <w:tcBorders>
              <w:top w:val="nil"/>
              <w:left w:val="single" w:sz="6" w:space="0" w:color="7F7F7F"/>
              <w:bottom w:val="nil"/>
              <w:right w:val="nil"/>
            </w:tcBorders>
            <w:shd w:val="clear" w:color="auto" w:fill="F2F2F2"/>
            <w:vAlign w:val="center"/>
            <w:hideMark/>
          </w:tcPr>
          <w:p w14:paraId="41958A64"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T</w:t>
            </w:r>
            <w:r>
              <w:rPr>
                <w:rFonts w:ascii="Times New Roman" w:eastAsia="Times New Roman" w:hAnsi="Times New Roman" w:cs="Times New Roman"/>
                <w:b/>
                <w:bCs/>
                <w:color w:val="000000"/>
                <w:sz w:val="20"/>
                <w:szCs w:val="20"/>
                <w:lang w:val="sq-AL"/>
              </w:rPr>
              <w:t>ype</w:t>
            </w:r>
            <w:r>
              <w:rPr>
                <w:rFonts w:ascii="Times New Roman" w:eastAsia="Times New Roman" w:hAnsi="Times New Roman" w:cs="Times New Roman"/>
                <w:b/>
                <w:bCs/>
                <w:color w:val="000000"/>
                <w:sz w:val="20"/>
                <w:szCs w:val="20"/>
                <w:lang w:val="en-GB"/>
              </w:rPr>
              <w:t> </w:t>
            </w:r>
            <w:r>
              <w:rPr>
                <w:rFonts w:ascii="Times New Roman" w:eastAsia="Times New Roman" w:hAnsi="Times New Roman" w:cs="Times New Roman"/>
                <w:color w:val="000000"/>
                <w:sz w:val="20"/>
                <w:szCs w:val="20"/>
              </w:rPr>
              <w:t> </w:t>
            </w:r>
          </w:p>
          <w:p w14:paraId="20EAE6B6"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234" w:type="dxa"/>
            <w:tcBorders>
              <w:top w:val="nil"/>
              <w:left w:val="nil"/>
              <w:bottom w:val="nil"/>
              <w:right w:val="nil"/>
            </w:tcBorders>
            <w:shd w:val="clear" w:color="auto" w:fill="F2F2F2"/>
            <w:vAlign w:val="center"/>
            <w:hideMark/>
          </w:tcPr>
          <w:p w14:paraId="6EA1996C"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Semester</w:t>
            </w:r>
            <w:r>
              <w:rPr>
                <w:rFonts w:ascii="Times New Roman" w:eastAsia="Times New Roman" w:hAnsi="Times New Roman" w:cs="Times New Roman"/>
                <w:color w:val="000000"/>
                <w:sz w:val="20"/>
                <w:szCs w:val="20"/>
              </w:rPr>
              <w:t> </w:t>
            </w:r>
          </w:p>
        </w:tc>
        <w:tc>
          <w:tcPr>
            <w:tcW w:w="1297" w:type="dxa"/>
            <w:tcBorders>
              <w:top w:val="nil"/>
              <w:left w:val="nil"/>
              <w:bottom w:val="nil"/>
              <w:right w:val="nil"/>
            </w:tcBorders>
            <w:shd w:val="clear" w:color="auto" w:fill="F2F2F2"/>
            <w:vAlign w:val="center"/>
            <w:hideMark/>
          </w:tcPr>
          <w:p w14:paraId="4887C51C"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ECTS</w:t>
            </w:r>
            <w:r>
              <w:rPr>
                <w:rFonts w:ascii="Times New Roman" w:eastAsia="Times New Roman" w:hAnsi="Times New Roman" w:cs="Times New Roman"/>
                <w:color w:val="000000"/>
                <w:sz w:val="20"/>
                <w:szCs w:val="20"/>
              </w:rPr>
              <w:t> </w:t>
            </w:r>
          </w:p>
        </w:tc>
        <w:tc>
          <w:tcPr>
            <w:tcW w:w="1916" w:type="dxa"/>
            <w:tcBorders>
              <w:top w:val="nil"/>
              <w:left w:val="nil"/>
              <w:bottom w:val="nil"/>
              <w:right w:val="single" w:sz="6" w:space="0" w:color="7F7F7F"/>
            </w:tcBorders>
            <w:shd w:val="clear" w:color="auto" w:fill="F2F2F2"/>
            <w:vAlign w:val="center"/>
            <w:hideMark/>
          </w:tcPr>
          <w:p w14:paraId="1BA1AD33"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Code </w:t>
            </w:r>
            <w:r>
              <w:rPr>
                <w:rFonts w:ascii="Times New Roman" w:eastAsia="Times New Roman" w:hAnsi="Times New Roman" w:cs="Times New Roman"/>
                <w:color w:val="000000"/>
                <w:sz w:val="20"/>
                <w:szCs w:val="20"/>
              </w:rPr>
              <w:t> </w:t>
            </w:r>
          </w:p>
        </w:tc>
      </w:tr>
      <w:tr w:rsidR="00954500" w14:paraId="2FE23FEC" w14:textId="77777777" w:rsidTr="00954500">
        <w:trPr>
          <w:trHeight w:val="270"/>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184A639E" w14:textId="77777777" w:rsidR="00954500" w:rsidRDefault="00954500">
            <w:pPr>
              <w:spacing w:after="0"/>
              <w:rPr>
                <w:rFonts w:ascii="Times New Roman" w:eastAsia="Times New Roman" w:hAnsi="Times New Roman" w:cs="Times New Roman"/>
                <w:sz w:val="20"/>
                <w:szCs w:val="20"/>
              </w:rPr>
            </w:pPr>
          </w:p>
        </w:tc>
        <w:tc>
          <w:tcPr>
            <w:tcW w:w="2931" w:type="dxa"/>
            <w:tcBorders>
              <w:top w:val="nil"/>
              <w:left w:val="single" w:sz="6" w:space="0" w:color="7F7F7F"/>
              <w:bottom w:val="single" w:sz="6" w:space="0" w:color="7F7F7F"/>
              <w:right w:val="nil"/>
            </w:tcBorders>
            <w:vAlign w:val="center"/>
            <w:hideMark/>
          </w:tcPr>
          <w:p w14:paraId="78DC5074"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O</w:t>
            </w:r>
            <w:r>
              <w:rPr>
                <w:rFonts w:ascii="Times New Roman" w:eastAsia="Times New Roman" w:hAnsi="Times New Roman" w:cs="Times New Roman"/>
                <w:color w:val="404040"/>
                <w:sz w:val="20"/>
                <w:szCs w:val="20"/>
              </w:rPr>
              <w:t> </w:t>
            </w:r>
          </w:p>
          <w:p w14:paraId="37076ADA"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234" w:type="dxa"/>
            <w:tcBorders>
              <w:top w:val="nil"/>
              <w:left w:val="nil"/>
              <w:bottom w:val="single" w:sz="6" w:space="0" w:color="7F7F7F"/>
              <w:right w:val="nil"/>
            </w:tcBorders>
            <w:vAlign w:val="center"/>
            <w:hideMark/>
          </w:tcPr>
          <w:p w14:paraId="329AF8A6"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2</w:t>
            </w:r>
            <w:r>
              <w:rPr>
                <w:rFonts w:ascii="Times New Roman" w:eastAsia="Times New Roman" w:hAnsi="Times New Roman" w:cs="Times New Roman"/>
                <w:color w:val="404040"/>
                <w:sz w:val="20"/>
                <w:szCs w:val="20"/>
              </w:rPr>
              <w:t> </w:t>
            </w:r>
          </w:p>
        </w:tc>
        <w:tc>
          <w:tcPr>
            <w:tcW w:w="1297" w:type="dxa"/>
            <w:tcBorders>
              <w:top w:val="nil"/>
              <w:left w:val="nil"/>
              <w:bottom w:val="single" w:sz="6" w:space="0" w:color="7F7F7F"/>
              <w:right w:val="nil"/>
            </w:tcBorders>
            <w:vAlign w:val="center"/>
            <w:hideMark/>
          </w:tcPr>
          <w:p w14:paraId="7E41CEC5"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4 (2+1)</w:t>
            </w:r>
            <w:r>
              <w:rPr>
                <w:rFonts w:ascii="Times New Roman" w:eastAsia="Times New Roman" w:hAnsi="Times New Roman" w:cs="Times New Roman"/>
                <w:color w:val="404040"/>
                <w:sz w:val="20"/>
                <w:szCs w:val="20"/>
              </w:rPr>
              <w:t> </w:t>
            </w:r>
          </w:p>
        </w:tc>
        <w:tc>
          <w:tcPr>
            <w:tcW w:w="1916" w:type="dxa"/>
            <w:tcBorders>
              <w:top w:val="nil"/>
              <w:left w:val="nil"/>
              <w:bottom w:val="single" w:sz="6" w:space="0" w:color="7F7F7F"/>
              <w:right w:val="single" w:sz="6" w:space="0" w:color="7F7F7F"/>
            </w:tcBorders>
            <w:vAlign w:val="center"/>
            <w:hideMark/>
          </w:tcPr>
          <w:p w14:paraId="3DA64CEF"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130ACH159</w:t>
            </w:r>
            <w:r>
              <w:rPr>
                <w:rFonts w:ascii="Times New Roman" w:eastAsia="Times New Roman" w:hAnsi="Times New Roman" w:cs="Times New Roman"/>
                <w:color w:val="404040"/>
                <w:sz w:val="20"/>
                <w:szCs w:val="20"/>
              </w:rPr>
              <w:t> </w:t>
            </w:r>
          </w:p>
        </w:tc>
      </w:tr>
      <w:tr w:rsidR="00954500" w14:paraId="0832AE48" w14:textId="77777777" w:rsidTr="00954500">
        <w:trPr>
          <w:trHeight w:val="360"/>
        </w:trPr>
        <w:tc>
          <w:tcPr>
            <w:tcW w:w="2244" w:type="dxa"/>
            <w:tcBorders>
              <w:top w:val="single" w:sz="6" w:space="0" w:color="7F7F7F"/>
              <w:left w:val="single" w:sz="6" w:space="0" w:color="7F7F7F"/>
              <w:bottom w:val="nil"/>
              <w:right w:val="nil"/>
            </w:tcBorders>
            <w:shd w:val="clear" w:color="auto" w:fill="D9E2F3"/>
            <w:vAlign w:val="center"/>
            <w:hideMark/>
          </w:tcPr>
          <w:p w14:paraId="15BB0512"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Course Lecturer</w:t>
            </w:r>
            <w:r>
              <w:rPr>
                <w:rFonts w:ascii="Times New Roman" w:eastAsia="Times New Roman" w:hAnsi="Times New Roman" w:cs="Times New Roman"/>
                <w:color w:val="000000"/>
                <w:sz w:val="20"/>
                <w:szCs w:val="20"/>
              </w:rPr>
              <w:t> </w:t>
            </w:r>
          </w:p>
        </w:tc>
        <w:tc>
          <w:tcPr>
            <w:tcW w:w="7378" w:type="dxa"/>
            <w:gridSpan w:val="4"/>
            <w:tcBorders>
              <w:top w:val="single" w:sz="6" w:space="0" w:color="7F7F7F"/>
              <w:left w:val="nil"/>
              <w:bottom w:val="nil"/>
              <w:right w:val="single" w:sz="6" w:space="0" w:color="7F7F7F"/>
            </w:tcBorders>
            <w:vAlign w:val="center"/>
            <w:hideMark/>
          </w:tcPr>
          <w:p w14:paraId="42BE5031"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 xml:space="preserve"> Xhavit F. Bytyçi; </w:t>
            </w:r>
          </w:p>
          <w:p w14:paraId="1A173AAD"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954500" w14:paraId="46CBA446" w14:textId="77777777" w:rsidTr="00954500">
        <w:trPr>
          <w:trHeight w:val="360"/>
        </w:trPr>
        <w:tc>
          <w:tcPr>
            <w:tcW w:w="2244" w:type="dxa"/>
            <w:tcBorders>
              <w:top w:val="nil"/>
              <w:left w:val="single" w:sz="6" w:space="0" w:color="7F7F7F"/>
              <w:bottom w:val="nil"/>
              <w:right w:val="nil"/>
            </w:tcBorders>
            <w:shd w:val="clear" w:color="auto" w:fill="D9E2F3"/>
            <w:vAlign w:val="center"/>
            <w:hideMark/>
          </w:tcPr>
          <w:p w14:paraId="1B54B2CF"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Course Assistant</w:t>
            </w:r>
            <w:r>
              <w:rPr>
                <w:rFonts w:ascii="Times New Roman" w:eastAsia="Times New Roman" w:hAnsi="Times New Roman" w:cs="Times New Roman"/>
                <w:color w:val="000000"/>
                <w:sz w:val="20"/>
                <w:szCs w:val="20"/>
              </w:rPr>
              <w:t> </w:t>
            </w:r>
          </w:p>
        </w:tc>
        <w:tc>
          <w:tcPr>
            <w:tcW w:w="7378" w:type="dxa"/>
            <w:gridSpan w:val="4"/>
            <w:tcBorders>
              <w:top w:val="nil"/>
              <w:left w:val="nil"/>
              <w:bottom w:val="nil"/>
              <w:right w:val="single" w:sz="6" w:space="0" w:color="7F7F7F"/>
            </w:tcBorders>
            <w:vAlign w:val="center"/>
          </w:tcPr>
          <w:p w14:paraId="1B5C80F3" w14:textId="77777777" w:rsidR="00954500" w:rsidRDefault="00954500">
            <w:pPr>
              <w:spacing w:after="0" w:line="240" w:lineRule="auto"/>
              <w:textAlignment w:val="baseline"/>
              <w:rPr>
                <w:rFonts w:ascii="Times New Roman" w:eastAsia="Times New Roman" w:hAnsi="Times New Roman" w:cs="Times New Roman"/>
                <w:sz w:val="20"/>
                <w:szCs w:val="20"/>
              </w:rPr>
            </w:pPr>
          </w:p>
        </w:tc>
      </w:tr>
      <w:tr w:rsidR="00954500" w14:paraId="7C685A02" w14:textId="77777777" w:rsidTr="00954500">
        <w:trPr>
          <w:trHeight w:val="285"/>
        </w:trPr>
        <w:tc>
          <w:tcPr>
            <w:tcW w:w="2244" w:type="dxa"/>
            <w:tcBorders>
              <w:top w:val="nil"/>
              <w:left w:val="single" w:sz="6" w:space="0" w:color="7F7F7F"/>
              <w:bottom w:val="single" w:sz="6" w:space="0" w:color="7F7F7F"/>
              <w:right w:val="nil"/>
            </w:tcBorders>
            <w:shd w:val="clear" w:color="auto" w:fill="D9E2F3"/>
            <w:vAlign w:val="center"/>
            <w:hideMark/>
          </w:tcPr>
          <w:p w14:paraId="0D69DB8A"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Course Tutor</w:t>
            </w:r>
            <w:r>
              <w:rPr>
                <w:rFonts w:ascii="Times New Roman" w:eastAsia="Times New Roman" w:hAnsi="Times New Roman" w:cs="Times New Roman"/>
                <w:color w:val="000000"/>
                <w:sz w:val="20"/>
                <w:szCs w:val="20"/>
              </w:rPr>
              <w:t> </w:t>
            </w:r>
          </w:p>
        </w:tc>
        <w:tc>
          <w:tcPr>
            <w:tcW w:w="7378" w:type="dxa"/>
            <w:gridSpan w:val="4"/>
            <w:tcBorders>
              <w:top w:val="nil"/>
              <w:left w:val="nil"/>
              <w:bottom w:val="single" w:sz="6" w:space="0" w:color="7F7F7F"/>
              <w:right w:val="single" w:sz="6" w:space="0" w:color="7F7F7F"/>
            </w:tcBorders>
            <w:vAlign w:val="center"/>
            <w:hideMark/>
          </w:tcPr>
          <w:p w14:paraId="3117E2E6"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954500" w14:paraId="43930FB3" w14:textId="77777777" w:rsidTr="00954500">
        <w:trPr>
          <w:trHeight w:val="300"/>
        </w:trPr>
        <w:tc>
          <w:tcPr>
            <w:tcW w:w="2244" w:type="dxa"/>
            <w:tcBorders>
              <w:top w:val="single" w:sz="6" w:space="0" w:color="7F7F7F"/>
              <w:left w:val="single" w:sz="6" w:space="0" w:color="7F7F7F"/>
              <w:bottom w:val="single" w:sz="6" w:space="0" w:color="7F7F7F"/>
              <w:right w:val="nil"/>
            </w:tcBorders>
            <w:shd w:val="clear" w:color="auto" w:fill="D9E2F3"/>
            <w:vAlign w:val="center"/>
            <w:hideMark/>
          </w:tcPr>
          <w:p w14:paraId="4A51F15E"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Aims and Objectives</w:t>
            </w:r>
            <w:r>
              <w:rPr>
                <w:rFonts w:ascii="Times New Roman" w:eastAsia="Times New Roman" w:hAnsi="Times New Roman" w:cs="Times New Roman"/>
                <w:color w:val="000000"/>
                <w:sz w:val="20"/>
                <w:szCs w:val="20"/>
              </w:rPr>
              <w:t> </w:t>
            </w:r>
          </w:p>
        </w:tc>
        <w:tc>
          <w:tcPr>
            <w:tcW w:w="7378" w:type="dxa"/>
            <w:gridSpan w:val="4"/>
            <w:tcBorders>
              <w:top w:val="single" w:sz="6" w:space="0" w:color="7F7F7F"/>
              <w:left w:val="nil"/>
              <w:bottom w:val="single" w:sz="6" w:space="0" w:color="7F7F7F"/>
              <w:right w:val="single" w:sz="6" w:space="0" w:color="7F7F7F"/>
            </w:tcBorders>
            <w:hideMark/>
          </w:tcPr>
          <w:p w14:paraId="44A579B1"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1B3A4D46"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"Raw materials of animal origin" offers the main concepts in establishing the theoretical foundations: to get to know the branch of livestock and the factors that affect the production of materials of animal origin, such as knowledge of the categories and breeds of cattle, sheep, goats, pigs; the influence of nutritional and breeding factors as well as the selection process of domestic animals for the production of raw materials of animal origin. </w:t>
            </w:r>
          </w:p>
          <w:p w14:paraId="26B34555"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6778B9F"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Also, to know the physiology of milk synthesis, the stage of lactation as well as the various factors that affect the quality of milk, with special emphasis on the hygiene of the benefit of milk from dairy animals. </w:t>
            </w:r>
          </w:p>
          <w:p w14:paraId="73342003"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1BCF758"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To have knowledge on the histological, chemical and physical construction of mammal, poultry and fish meat, the factors that affect the quality of meat as well as the way of hygienic benefit of meat as a raw material of animal origin. </w:t>
            </w:r>
          </w:p>
          <w:p w14:paraId="3969C64F"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29E98849"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the importance of bird eggs and bee honey including their chemical and physical composition as well as their health benefits. </w:t>
            </w:r>
          </w:p>
          <w:p w14:paraId="7F1E2C36"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954500" w14:paraId="320A59EB" w14:textId="77777777" w:rsidTr="00954500">
        <w:trPr>
          <w:trHeight w:val="1785"/>
        </w:trPr>
        <w:tc>
          <w:tcPr>
            <w:tcW w:w="2244" w:type="dxa"/>
            <w:tcBorders>
              <w:top w:val="single" w:sz="6" w:space="0" w:color="7F7F7F"/>
              <w:left w:val="single" w:sz="6" w:space="0" w:color="7F7F7F"/>
              <w:bottom w:val="single" w:sz="6" w:space="0" w:color="7F7F7F"/>
              <w:right w:val="nil"/>
            </w:tcBorders>
            <w:shd w:val="clear" w:color="auto" w:fill="D9E2F3"/>
            <w:vAlign w:val="center"/>
            <w:hideMark/>
          </w:tcPr>
          <w:p w14:paraId="7BCE1812"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Learning outcomes</w:t>
            </w:r>
            <w:r>
              <w:rPr>
                <w:rFonts w:ascii="Times New Roman" w:eastAsia="Times New Roman" w:hAnsi="Times New Roman" w:cs="Times New Roman"/>
                <w:color w:val="000000"/>
                <w:sz w:val="20"/>
                <w:szCs w:val="20"/>
              </w:rPr>
              <w:t> </w:t>
            </w:r>
          </w:p>
        </w:tc>
        <w:tc>
          <w:tcPr>
            <w:tcW w:w="7378" w:type="dxa"/>
            <w:gridSpan w:val="4"/>
            <w:tcBorders>
              <w:top w:val="single" w:sz="6" w:space="0" w:color="7F7F7F"/>
              <w:left w:val="nil"/>
              <w:bottom w:val="single" w:sz="6" w:space="0" w:color="7F7F7F"/>
              <w:right w:val="single" w:sz="6" w:space="0" w:color="7F7F7F"/>
            </w:tcBorders>
            <w:hideMark/>
          </w:tcPr>
          <w:p w14:paraId="2C7E66C6"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83973B4"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After completing this course (subject), the student will be able to: </w:t>
            </w:r>
          </w:p>
          <w:p w14:paraId="1F187598"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863FA59"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2D"/>
            </w:r>
            <w:r>
              <w:rPr>
                <w:rFonts w:ascii="Times New Roman" w:eastAsia="Times New Roman" w:hAnsi="Times New Roman" w:cs="Times New Roman"/>
                <w:sz w:val="20"/>
                <w:szCs w:val="20"/>
              </w:rPr>
              <w:t xml:space="preserve"> To know the general concepts of the importance of breeding agricultural animals as well as raw materials of animal origin as well as the role of factors that strongly influence the quality of animal materials </w:t>
            </w:r>
          </w:p>
          <w:p w14:paraId="7E87EFA9"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002239A"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2D"/>
            </w:r>
            <w:r>
              <w:rPr>
                <w:rFonts w:ascii="Times New Roman" w:eastAsia="Times New Roman" w:hAnsi="Times New Roman" w:cs="Times New Roman"/>
                <w:sz w:val="20"/>
                <w:szCs w:val="20"/>
              </w:rPr>
              <w:t xml:space="preserve"> To understand the chemical and physical composition of milk and the importance of technological factors that affect the quality of milk. </w:t>
            </w:r>
          </w:p>
          <w:p w14:paraId="2D1C9281"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C2D243F"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2D"/>
            </w:r>
            <w:r>
              <w:rPr>
                <w:rFonts w:ascii="Times New Roman" w:eastAsia="Times New Roman" w:hAnsi="Times New Roman" w:cs="Times New Roman"/>
                <w:sz w:val="20"/>
                <w:szCs w:val="20"/>
              </w:rPr>
              <w:t xml:space="preserve"> To understand and compare the chemical and physical composition of the meat of mammals, poultry and fish, the procedures of their hygienic benefit as the factors that affect the quality of the meat. </w:t>
            </w:r>
          </w:p>
          <w:p w14:paraId="2AD4665F"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1680A0D"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2D"/>
            </w:r>
            <w:r>
              <w:rPr>
                <w:rFonts w:ascii="Times New Roman" w:eastAsia="Times New Roman" w:hAnsi="Times New Roman" w:cs="Times New Roman"/>
                <w:sz w:val="20"/>
                <w:szCs w:val="20"/>
              </w:rPr>
              <w:t xml:space="preserve"> To understand the importance of bird eggs and honey, their chemical and physical composition and their nutritional values. </w:t>
            </w:r>
          </w:p>
          <w:p w14:paraId="7F566FC2"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954500" w14:paraId="49F4DB12" w14:textId="77777777" w:rsidTr="00954500">
        <w:trPr>
          <w:trHeight w:val="1785"/>
        </w:trPr>
        <w:tc>
          <w:tcPr>
            <w:tcW w:w="2244" w:type="dxa"/>
            <w:tcBorders>
              <w:top w:val="single" w:sz="6" w:space="0" w:color="7F7F7F"/>
              <w:left w:val="single" w:sz="6" w:space="0" w:color="7F7F7F"/>
              <w:bottom w:val="single" w:sz="6" w:space="0" w:color="7F7F7F"/>
              <w:right w:val="nil"/>
            </w:tcBorders>
            <w:shd w:val="clear" w:color="auto" w:fill="D9E2F3"/>
            <w:vAlign w:val="center"/>
            <w:hideMark/>
          </w:tcPr>
          <w:p w14:paraId="52284A56"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Alignment of</w:t>
            </w:r>
            <w:r>
              <w:rPr>
                <w:rFonts w:ascii="Times New Roman" w:eastAsia="Times New Roman" w:hAnsi="Times New Roman" w:cs="Times New Roman"/>
                <w:color w:val="000000"/>
                <w:sz w:val="20"/>
                <w:szCs w:val="20"/>
              </w:rPr>
              <w:t> </w:t>
            </w:r>
          </w:p>
          <w:p w14:paraId="6EB8A765"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Course’s </w:t>
            </w:r>
            <w:r>
              <w:rPr>
                <w:rFonts w:ascii="Times New Roman" w:eastAsia="Times New Roman" w:hAnsi="Times New Roman" w:cs="Times New Roman"/>
                <w:color w:val="000000"/>
                <w:sz w:val="20"/>
                <w:szCs w:val="20"/>
              </w:rPr>
              <w:t> </w:t>
            </w:r>
          </w:p>
          <w:p w14:paraId="3CFACBF2"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Learning</w:t>
            </w:r>
            <w:r>
              <w:rPr>
                <w:rFonts w:ascii="Times New Roman" w:eastAsia="Times New Roman" w:hAnsi="Times New Roman" w:cs="Times New Roman"/>
                <w:color w:val="000000"/>
                <w:sz w:val="20"/>
                <w:szCs w:val="20"/>
              </w:rPr>
              <w:t> </w:t>
            </w:r>
          </w:p>
          <w:p w14:paraId="7C6EDF4C"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Outcomes to</w:t>
            </w:r>
            <w:r>
              <w:rPr>
                <w:rFonts w:ascii="Times New Roman" w:eastAsia="Times New Roman" w:hAnsi="Times New Roman" w:cs="Times New Roman"/>
                <w:color w:val="000000"/>
                <w:sz w:val="20"/>
                <w:szCs w:val="20"/>
              </w:rPr>
              <w:t> </w:t>
            </w:r>
          </w:p>
          <w:p w14:paraId="44796563"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Programs Learning</w:t>
            </w:r>
            <w:r>
              <w:rPr>
                <w:rFonts w:ascii="Times New Roman" w:eastAsia="Times New Roman" w:hAnsi="Times New Roman" w:cs="Times New Roman"/>
                <w:color w:val="000000"/>
                <w:sz w:val="20"/>
                <w:szCs w:val="20"/>
              </w:rPr>
              <w:t> </w:t>
            </w:r>
          </w:p>
          <w:p w14:paraId="00336DB2"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Outcomes.</w:t>
            </w:r>
            <w:r>
              <w:rPr>
                <w:rFonts w:ascii="Times New Roman" w:eastAsia="Times New Roman" w:hAnsi="Times New Roman" w:cs="Times New Roman"/>
                <w:color w:val="000000"/>
                <w:sz w:val="20"/>
                <w:szCs w:val="20"/>
              </w:rPr>
              <w:t> </w:t>
            </w:r>
          </w:p>
        </w:tc>
        <w:tc>
          <w:tcPr>
            <w:tcW w:w="7378" w:type="dxa"/>
            <w:gridSpan w:val="4"/>
            <w:tcBorders>
              <w:top w:val="single" w:sz="6" w:space="0" w:color="7F7F7F"/>
              <w:left w:val="nil"/>
              <w:bottom w:val="single" w:sz="6" w:space="0" w:color="7F7F7F"/>
              <w:right w:val="single" w:sz="6" w:space="0" w:color="7F7F7F"/>
            </w:tcBorders>
            <w:hideMark/>
          </w:tcPr>
          <w:p w14:paraId="5003FA43"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3A4C9D0" w14:textId="77777777" w:rsidR="00954500" w:rsidRDefault="00954500"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Application of theoretical knowledge:</w:t>
            </w:r>
            <w:r>
              <w:rPr>
                <w:rFonts w:ascii="Times New Roman" w:eastAsia="Times New Roman" w:hAnsi="Times New Roman" w:cs="Times New Roman"/>
                <w:sz w:val="20"/>
                <w:szCs w:val="20"/>
              </w:rPr>
              <w:t> </w:t>
            </w:r>
          </w:p>
          <w:p w14:paraId="23DF00E3" w14:textId="77777777" w:rsidR="00954500" w:rsidRDefault="00954500">
            <w:pPr>
              <w:spacing w:after="0" w:line="240" w:lineRule="auto"/>
              <w:ind w:left="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D31D384"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Possession and understanding of advanced knowledge about the chemical and physical properties of raw materials of animal origin such as milk, meat of mammals, poultry and fish as well as eggs and honey with special emphasis on their sensory evaluation for the purpose of producing products healthy, safe and high-quality animals. </w:t>
            </w:r>
          </w:p>
          <w:p w14:paraId="3B8C3AA2"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Application of advanced techniques, methods, tools and instruments in the processing, analysis and evaluation of the quality of milk, meat, eggs and honey, ensuring compliance with food laws and regulations. </w:t>
            </w:r>
          </w:p>
          <w:p w14:paraId="0DB21DDD"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53065EE" w14:textId="77777777" w:rsidR="00954500" w:rsidRDefault="00954500" w:rsidP="00E433D8">
            <w:pPr>
              <w:numPr>
                <w:ilvl w:val="0"/>
                <w:numId w:val="2"/>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Evaluation and critical analysis:</w:t>
            </w:r>
            <w:r>
              <w:rPr>
                <w:rFonts w:ascii="Times New Roman" w:eastAsia="Times New Roman" w:hAnsi="Times New Roman" w:cs="Times New Roman"/>
                <w:sz w:val="20"/>
                <w:szCs w:val="20"/>
              </w:rPr>
              <w:t> </w:t>
            </w:r>
          </w:p>
          <w:p w14:paraId="2CC3093E" w14:textId="77777777" w:rsidR="00954500" w:rsidRDefault="00954500">
            <w:pPr>
              <w:spacing w:after="0" w:line="240" w:lineRule="auto"/>
              <w:ind w:left="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14668B0"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Analyzing, evaluating and interpreting scientific data on raw materials of animal origin, including research literature, ensuring that findings are innovatively and ethically communicated to a diverse audience, from peers to the general public. </w:t>
            </w:r>
          </w:p>
          <w:p w14:paraId="152B07A0"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Demonstration of understanding and technical competence in the basic principles of raw materials of animal origin, distinguishing between different animal materials and the implications for the food and health industry. </w:t>
            </w:r>
          </w:p>
          <w:p w14:paraId="2ED036E1"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Organize and convey technical and relevant information effectively, orally and in writing, ensuring clarity and accuracy to a diverse audience, including supervisors, peers and customers. </w:t>
            </w:r>
          </w:p>
          <w:p w14:paraId="04D62098"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Execution and direction of research projects in food science, navigating the complexities of nutrition and exercise science, especially of raw materials of animal origin, taking into account ethical, cultural and environmental dimensions. </w:t>
            </w:r>
          </w:p>
          <w:p w14:paraId="25AD2C4E"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Interpreting, comparing and classifying findings from research on animal subjects, ensuring that decisions and results are consistent with established standards and best practices. </w:t>
            </w:r>
          </w:p>
          <w:p w14:paraId="7F8971F1"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Exercise autonomy and initiatives in identifying interactions related to the quality of subjects of animal origin and factors that may affect their qualitative devaluation by designing optimal measures to maintain the quality of these subjects. </w:t>
            </w:r>
          </w:p>
          <w:p w14:paraId="56E520F0"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Addressing and solving complex problems related to the beneficiation of materials of animal origin using integrated knowledge from different fields of food science. </w:t>
            </w:r>
          </w:p>
          <w:p w14:paraId="2F2D70BA"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D4A6BBB" w14:textId="77777777" w:rsidR="00954500" w:rsidRDefault="00954500" w:rsidP="00E433D8">
            <w:pPr>
              <w:numPr>
                <w:ilvl w:val="0"/>
                <w:numId w:val="3"/>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Development of practical skills:</w:t>
            </w:r>
            <w:r>
              <w:rPr>
                <w:rFonts w:ascii="Times New Roman" w:eastAsia="Times New Roman" w:hAnsi="Times New Roman" w:cs="Times New Roman"/>
                <w:sz w:val="20"/>
                <w:szCs w:val="20"/>
              </w:rPr>
              <w:t> </w:t>
            </w:r>
          </w:p>
          <w:p w14:paraId="2B13CECF" w14:textId="77777777" w:rsidR="00954500" w:rsidRDefault="00954500">
            <w:pPr>
              <w:spacing w:after="0" w:line="240" w:lineRule="auto"/>
              <w:ind w:left="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1F1A800"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Interpreting, comparing and classifying findings from research on animal subjects, ensuring that decisions and results are consistent with established standards and best practices. </w:t>
            </w:r>
          </w:p>
          <w:p w14:paraId="1EC6E8CF"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Exercise autonomy and initiatives in identifying interactions related to the quality of subjects of animal origin and factors that may affect their qualitative devaluation by designing optimal measures to maintain the quality of these subjects. </w:t>
            </w:r>
          </w:p>
          <w:p w14:paraId="4FDE1AC0"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Addressing and solving complex problems related to the beneficiation of materials of animal origin using integrated knowledge from different fields of food science. </w:t>
            </w:r>
          </w:p>
          <w:p w14:paraId="16B51184"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B6DBFA8" w14:textId="77777777" w:rsidR="00954500" w:rsidRDefault="00954500" w:rsidP="00E433D8">
            <w:pPr>
              <w:numPr>
                <w:ilvl w:val="0"/>
                <w:numId w:val="4"/>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Evidence-based approach:</w:t>
            </w:r>
            <w:r>
              <w:rPr>
                <w:rFonts w:ascii="Times New Roman" w:eastAsia="Times New Roman" w:hAnsi="Times New Roman" w:cs="Times New Roman"/>
                <w:sz w:val="20"/>
                <w:szCs w:val="20"/>
              </w:rPr>
              <w:t> </w:t>
            </w:r>
          </w:p>
          <w:p w14:paraId="7C5E6D8A" w14:textId="77777777" w:rsidR="00954500" w:rsidRDefault="00954500">
            <w:pPr>
              <w:spacing w:after="0" w:line="240" w:lineRule="auto"/>
              <w:ind w:left="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D9D3B59"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Addressing and solving complex problems related to the beneficiation of materials of animal origin using integrated knowledge from different fields of food science </w:t>
            </w:r>
          </w:p>
          <w:p w14:paraId="23FA94AF"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Commitment to continuous learning, staying up-to-date with the latest trends, challenges and innovations in the field of studying raw materials of animal origin and exercises for assessing their quality. </w:t>
            </w:r>
          </w:p>
          <w:p w14:paraId="5F26BEC3"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6C7119BA" w14:textId="77777777" w:rsidR="00954500" w:rsidRDefault="0095450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954500" w14:paraId="3A0B3EDB" w14:textId="77777777" w:rsidTr="00954500">
        <w:trPr>
          <w:trHeight w:val="285"/>
        </w:trPr>
        <w:tc>
          <w:tcPr>
            <w:tcW w:w="2244" w:type="dxa"/>
            <w:vMerge w:val="restart"/>
            <w:tcBorders>
              <w:top w:val="single" w:sz="6" w:space="0" w:color="7F7F7F"/>
              <w:left w:val="single" w:sz="6" w:space="0" w:color="7F7F7F"/>
              <w:bottom w:val="dotted" w:sz="6" w:space="0" w:color="7F7F7F"/>
              <w:right w:val="nil"/>
            </w:tcBorders>
            <w:shd w:val="clear" w:color="auto" w:fill="D9E2F3"/>
            <w:vAlign w:val="center"/>
            <w:hideMark/>
          </w:tcPr>
          <w:p w14:paraId="51852DF6"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lastRenderedPageBreak/>
              <w:t>Content</w:t>
            </w:r>
            <w:r>
              <w:rPr>
                <w:rFonts w:ascii="Times New Roman" w:eastAsia="Times New Roman" w:hAnsi="Times New Roman" w:cs="Times New Roman"/>
                <w:color w:val="000000"/>
                <w:sz w:val="20"/>
                <w:szCs w:val="20"/>
              </w:rPr>
              <w:t> </w:t>
            </w:r>
          </w:p>
        </w:tc>
        <w:tc>
          <w:tcPr>
            <w:tcW w:w="5462" w:type="dxa"/>
            <w:gridSpan w:val="3"/>
            <w:tcBorders>
              <w:top w:val="single" w:sz="6" w:space="0" w:color="7F7F7F"/>
              <w:left w:val="nil"/>
              <w:bottom w:val="single" w:sz="6" w:space="0" w:color="auto"/>
              <w:right w:val="nil"/>
            </w:tcBorders>
            <w:shd w:val="clear" w:color="auto" w:fill="F2F2F2"/>
            <w:hideMark/>
          </w:tcPr>
          <w:p w14:paraId="7D4109D5"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i/>
                <w:iCs/>
                <w:color w:val="000000"/>
                <w:sz w:val="20"/>
                <w:szCs w:val="20"/>
                <w:lang w:val="en-GB"/>
              </w:rPr>
              <w:t>Content of Lectures/Weekly Plan </w:t>
            </w:r>
            <w:r>
              <w:rPr>
                <w:rFonts w:ascii="Times New Roman" w:eastAsia="Times New Roman" w:hAnsi="Times New Roman" w:cs="Times New Roman"/>
                <w:color w:val="000000"/>
                <w:sz w:val="20"/>
                <w:szCs w:val="20"/>
              </w:rPr>
              <w:t> </w:t>
            </w:r>
          </w:p>
        </w:tc>
        <w:tc>
          <w:tcPr>
            <w:tcW w:w="1916" w:type="dxa"/>
            <w:tcBorders>
              <w:top w:val="single" w:sz="6" w:space="0" w:color="7F7F7F"/>
              <w:left w:val="nil"/>
              <w:bottom w:val="single" w:sz="6" w:space="0" w:color="auto"/>
              <w:right w:val="single" w:sz="6" w:space="0" w:color="7F7F7F"/>
            </w:tcBorders>
            <w:shd w:val="clear" w:color="auto" w:fill="F2F2F2"/>
            <w:hideMark/>
          </w:tcPr>
          <w:p w14:paraId="43233DEB"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i/>
                <w:iCs/>
                <w:color w:val="000000"/>
                <w:sz w:val="20"/>
                <w:szCs w:val="20"/>
                <w:lang w:val="en-GB"/>
              </w:rPr>
              <w:t>Week </w:t>
            </w:r>
            <w:r>
              <w:rPr>
                <w:rFonts w:ascii="Times New Roman" w:eastAsia="Times New Roman" w:hAnsi="Times New Roman" w:cs="Times New Roman"/>
                <w:color w:val="000000"/>
                <w:sz w:val="20"/>
                <w:szCs w:val="20"/>
              </w:rPr>
              <w:t> </w:t>
            </w:r>
          </w:p>
        </w:tc>
      </w:tr>
      <w:tr w:rsidR="00954500" w14:paraId="27F8B533" w14:textId="77777777" w:rsidTr="00954500">
        <w:trPr>
          <w:trHeight w:val="525"/>
        </w:trPr>
        <w:tc>
          <w:tcPr>
            <w:tcW w:w="0" w:type="auto"/>
            <w:vMerge/>
            <w:tcBorders>
              <w:top w:val="single" w:sz="6" w:space="0" w:color="7F7F7F"/>
              <w:left w:val="single" w:sz="6" w:space="0" w:color="7F7F7F"/>
              <w:bottom w:val="dotted" w:sz="6" w:space="0" w:color="7F7F7F"/>
              <w:right w:val="nil"/>
            </w:tcBorders>
            <w:vAlign w:val="center"/>
            <w:hideMark/>
          </w:tcPr>
          <w:p w14:paraId="5C773345" w14:textId="77777777" w:rsidR="00954500" w:rsidRDefault="00954500">
            <w:pPr>
              <w:spacing w:after="0"/>
              <w:rPr>
                <w:rFonts w:ascii="Times New Roman" w:eastAsia="Times New Roman" w:hAnsi="Times New Roman" w:cs="Times New Roman"/>
                <w:sz w:val="20"/>
                <w:szCs w:val="20"/>
              </w:rPr>
            </w:pPr>
          </w:p>
        </w:tc>
        <w:tc>
          <w:tcPr>
            <w:tcW w:w="5462" w:type="dxa"/>
            <w:gridSpan w:val="3"/>
            <w:tcBorders>
              <w:top w:val="single" w:sz="6" w:space="0" w:color="auto"/>
              <w:left w:val="single" w:sz="6" w:space="0" w:color="auto"/>
              <w:bottom w:val="single" w:sz="6" w:space="0" w:color="auto"/>
              <w:right w:val="single" w:sz="6" w:space="0" w:color="auto"/>
            </w:tcBorders>
            <w:hideMark/>
          </w:tcPr>
          <w:p w14:paraId="63F6C47E"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The importance of animal husbandry in the production of raw materials of animal origin:</w:t>
            </w:r>
            <w:r>
              <w:rPr>
                <w:rFonts w:ascii="Times New Roman" w:eastAsia="Times New Roman" w:hAnsi="Times New Roman" w:cs="Times New Roman"/>
                <w:color w:val="000000"/>
                <w:sz w:val="20"/>
                <w:szCs w:val="20"/>
              </w:rPr>
              <w:t> </w:t>
            </w:r>
          </w:p>
          <w:p w14:paraId="0CDCFB3B"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hideMark/>
          </w:tcPr>
          <w:p w14:paraId="149EB7AA"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w:t>
            </w:r>
            <w:r>
              <w:rPr>
                <w:rFonts w:ascii="Times New Roman" w:eastAsia="Times New Roman" w:hAnsi="Times New Roman" w:cs="Times New Roman"/>
                <w:color w:val="000000"/>
                <w:sz w:val="20"/>
                <w:szCs w:val="20"/>
              </w:rPr>
              <w:t> </w:t>
            </w:r>
          </w:p>
        </w:tc>
      </w:tr>
      <w:tr w:rsidR="00954500" w14:paraId="7BFF125E" w14:textId="77777777" w:rsidTr="00954500">
        <w:trPr>
          <w:trHeight w:val="375"/>
        </w:trPr>
        <w:tc>
          <w:tcPr>
            <w:tcW w:w="0" w:type="auto"/>
            <w:vMerge/>
            <w:tcBorders>
              <w:top w:val="single" w:sz="6" w:space="0" w:color="7F7F7F"/>
              <w:left w:val="single" w:sz="6" w:space="0" w:color="7F7F7F"/>
              <w:bottom w:val="dotted" w:sz="6" w:space="0" w:color="7F7F7F"/>
              <w:right w:val="nil"/>
            </w:tcBorders>
            <w:vAlign w:val="center"/>
            <w:hideMark/>
          </w:tcPr>
          <w:p w14:paraId="0B4C2119" w14:textId="77777777" w:rsidR="00954500" w:rsidRDefault="00954500">
            <w:pPr>
              <w:spacing w:after="0"/>
              <w:rPr>
                <w:rFonts w:ascii="Times New Roman" w:eastAsia="Times New Roman" w:hAnsi="Times New Roman" w:cs="Times New Roman"/>
                <w:sz w:val="20"/>
                <w:szCs w:val="20"/>
              </w:rPr>
            </w:pPr>
          </w:p>
        </w:tc>
        <w:tc>
          <w:tcPr>
            <w:tcW w:w="5462" w:type="dxa"/>
            <w:gridSpan w:val="3"/>
            <w:tcBorders>
              <w:top w:val="single" w:sz="6" w:space="0" w:color="auto"/>
              <w:left w:val="single" w:sz="6" w:space="0" w:color="auto"/>
              <w:bottom w:val="single" w:sz="6" w:space="0" w:color="auto"/>
              <w:right w:val="single" w:sz="6" w:space="0" w:color="auto"/>
            </w:tcBorders>
            <w:hideMark/>
          </w:tcPr>
          <w:p w14:paraId="029E7F12"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Factors influencing the production of raw materials of animal origin</w:t>
            </w:r>
            <w:r>
              <w:rPr>
                <w:rFonts w:ascii="Times New Roman" w:eastAsia="Times New Roman" w:hAnsi="Times New Roman" w:cs="Times New Roman"/>
                <w:color w:val="000000"/>
                <w:sz w:val="20"/>
                <w:szCs w:val="20"/>
              </w:rPr>
              <w:t> </w:t>
            </w:r>
          </w:p>
          <w:p w14:paraId="157D97DB"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hideMark/>
          </w:tcPr>
          <w:p w14:paraId="0E375686"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2</w:t>
            </w:r>
            <w:r>
              <w:rPr>
                <w:rFonts w:ascii="Times New Roman" w:eastAsia="Times New Roman" w:hAnsi="Times New Roman" w:cs="Times New Roman"/>
                <w:color w:val="000000"/>
                <w:sz w:val="20"/>
                <w:szCs w:val="20"/>
              </w:rPr>
              <w:t> </w:t>
            </w:r>
          </w:p>
        </w:tc>
      </w:tr>
      <w:tr w:rsidR="00954500" w14:paraId="6492F1FD" w14:textId="77777777" w:rsidTr="00954500">
        <w:trPr>
          <w:trHeight w:val="555"/>
        </w:trPr>
        <w:tc>
          <w:tcPr>
            <w:tcW w:w="0" w:type="auto"/>
            <w:vMerge/>
            <w:tcBorders>
              <w:top w:val="single" w:sz="6" w:space="0" w:color="7F7F7F"/>
              <w:left w:val="single" w:sz="6" w:space="0" w:color="7F7F7F"/>
              <w:bottom w:val="dotted" w:sz="6" w:space="0" w:color="7F7F7F"/>
              <w:right w:val="nil"/>
            </w:tcBorders>
            <w:vAlign w:val="center"/>
            <w:hideMark/>
          </w:tcPr>
          <w:p w14:paraId="03708921" w14:textId="77777777" w:rsidR="00954500" w:rsidRDefault="00954500">
            <w:pPr>
              <w:spacing w:after="0"/>
              <w:rPr>
                <w:rFonts w:ascii="Times New Roman" w:eastAsia="Times New Roman" w:hAnsi="Times New Roman" w:cs="Times New Roman"/>
                <w:sz w:val="20"/>
                <w:szCs w:val="20"/>
              </w:rPr>
            </w:pPr>
          </w:p>
        </w:tc>
        <w:tc>
          <w:tcPr>
            <w:tcW w:w="5462" w:type="dxa"/>
            <w:gridSpan w:val="3"/>
            <w:tcBorders>
              <w:top w:val="single" w:sz="6" w:space="0" w:color="auto"/>
              <w:left w:val="single" w:sz="6" w:space="0" w:color="auto"/>
              <w:bottom w:val="single" w:sz="6" w:space="0" w:color="auto"/>
              <w:right w:val="single" w:sz="6" w:space="0" w:color="auto"/>
            </w:tcBorders>
            <w:hideMark/>
          </w:tcPr>
          <w:p w14:paraId="0F495689"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The role of selection and animal breeds in the production of raw materials of animal origin</w:t>
            </w:r>
            <w:r>
              <w:rPr>
                <w:rFonts w:ascii="Times New Roman" w:eastAsia="Times New Roman" w:hAnsi="Times New Roman" w:cs="Times New Roman"/>
                <w:color w:val="000000"/>
                <w:sz w:val="20"/>
                <w:szCs w:val="20"/>
              </w:rPr>
              <w:t> </w:t>
            </w:r>
          </w:p>
          <w:p w14:paraId="0B898B4E"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hideMark/>
          </w:tcPr>
          <w:p w14:paraId="36B1F864"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3</w:t>
            </w:r>
            <w:r>
              <w:rPr>
                <w:rFonts w:ascii="Times New Roman" w:eastAsia="Times New Roman" w:hAnsi="Times New Roman" w:cs="Times New Roman"/>
                <w:color w:val="000000"/>
                <w:sz w:val="20"/>
                <w:szCs w:val="20"/>
              </w:rPr>
              <w:t> </w:t>
            </w:r>
          </w:p>
        </w:tc>
      </w:tr>
      <w:tr w:rsidR="00954500" w14:paraId="18E35B0B" w14:textId="77777777" w:rsidTr="00954500">
        <w:trPr>
          <w:trHeight w:val="525"/>
        </w:trPr>
        <w:tc>
          <w:tcPr>
            <w:tcW w:w="0" w:type="auto"/>
            <w:vMerge/>
            <w:tcBorders>
              <w:top w:val="single" w:sz="6" w:space="0" w:color="7F7F7F"/>
              <w:left w:val="single" w:sz="6" w:space="0" w:color="7F7F7F"/>
              <w:bottom w:val="dotted" w:sz="6" w:space="0" w:color="7F7F7F"/>
              <w:right w:val="nil"/>
            </w:tcBorders>
            <w:vAlign w:val="center"/>
            <w:hideMark/>
          </w:tcPr>
          <w:p w14:paraId="745A52B2" w14:textId="77777777" w:rsidR="00954500" w:rsidRDefault="00954500">
            <w:pPr>
              <w:spacing w:after="0"/>
              <w:rPr>
                <w:rFonts w:ascii="Times New Roman" w:eastAsia="Times New Roman" w:hAnsi="Times New Roman" w:cs="Times New Roman"/>
                <w:sz w:val="20"/>
                <w:szCs w:val="20"/>
              </w:rPr>
            </w:pPr>
          </w:p>
        </w:tc>
        <w:tc>
          <w:tcPr>
            <w:tcW w:w="5462" w:type="dxa"/>
            <w:gridSpan w:val="3"/>
            <w:tcBorders>
              <w:top w:val="single" w:sz="6" w:space="0" w:color="auto"/>
              <w:left w:val="single" w:sz="6" w:space="0" w:color="auto"/>
              <w:bottom w:val="single" w:sz="6" w:space="0" w:color="auto"/>
              <w:right w:val="single" w:sz="6" w:space="0" w:color="auto"/>
            </w:tcBorders>
            <w:hideMark/>
          </w:tcPr>
          <w:p w14:paraId="4823640F"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Livestock, cattle, dairy and pig farming in the production of raw materials of animal origin</w:t>
            </w:r>
            <w:r>
              <w:rPr>
                <w:rFonts w:ascii="Times New Roman" w:eastAsia="Times New Roman" w:hAnsi="Times New Roman" w:cs="Times New Roman"/>
                <w:color w:val="000000"/>
                <w:sz w:val="20"/>
                <w:szCs w:val="20"/>
              </w:rPr>
              <w:t> </w:t>
            </w:r>
          </w:p>
          <w:p w14:paraId="10C274C9"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hideMark/>
          </w:tcPr>
          <w:p w14:paraId="0F06F4A0"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4</w:t>
            </w:r>
            <w:r>
              <w:rPr>
                <w:rFonts w:ascii="Times New Roman" w:eastAsia="Times New Roman" w:hAnsi="Times New Roman" w:cs="Times New Roman"/>
                <w:color w:val="000000"/>
                <w:sz w:val="20"/>
                <w:szCs w:val="20"/>
              </w:rPr>
              <w:t> </w:t>
            </w:r>
          </w:p>
        </w:tc>
      </w:tr>
      <w:tr w:rsidR="00954500" w14:paraId="0ABC86CA" w14:textId="77777777" w:rsidTr="00954500">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65288252" w14:textId="77777777" w:rsidR="00954500" w:rsidRDefault="00954500">
            <w:pPr>
              <w:spacing w:after="0"/>
              <w:rPr>
                <w:rFonts w:ascii="Times New Roman" w:eastAsia="Times New Roman" w:hAnsi="Times New Roman" w:cs="Times New Roman"/>
                <w:sz w:val="20"/>
                <w:szCs w:val="20"/>
              </w:rPr>
            </w:pPr>
          </w:p>
        </w:tc>
        <w:tc>
          <w:tcPr>
            <w:tcW w:w="5462" w:type="dxa"/>
            <w:gridSpan w:val="3"/>
            <w:tcBorders>
              <w:top w:val="single" w:sz="6" w:space="0" w:color="auto"/>
              <w:left w:val="single" w:sz="6" w:space="0" w:color="auto"/>
              <w:bottom w:val="single" w:sz="6" w:space="0" w:color="auto"/>
              <w:right w:val="single" w:sz="6" w:space="0" w:color="auto"/>
            </w:tcBorders>
            <w:hideMark/>
          </w:tcPr>
          <w:p w14:paraId="5E1C6F03"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Synthesis and chemical composition of milk</w:t>
            </w:r>
            <w:r>
              <w:rPr>
                <w:rFonts w:ascii="Times New Roman" w:eastAsia="Times New Roman" w:hAnsi="Times New Roman" w:cs="Times New Roman"/>
                <w:color w:val="000000"/>
                <w:sz w:val="20"/>
                <w:szCs w:val="20"/>
              </w:rPr>
              <w:t> </w:t>
            </w:r>
          </w:p>
          <w:p w14:paraId="03DB9D29"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hideMark/>
          </w:tcPr>
          <w:p w14:paraId="1B28E3EC"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5</w:t>
            </w:r>
            <w:r>
              <w:rPr>
                <w:rFonts w:ascii="Times New Roman" w:eastAsia="Times New Roman" w:hAnsi="Times New Roman" w:cs="Times New Roman"/>
                <w:color w:val="000000"/>
                <w:sz w:val="20"/>
                <w:szCs w:val="20"/>
              </w:rPr>
              <w:t> </w:t>
            </w:r>
          </w:p>
        </w:tc>
      </w:tr>
      <w:tr w:rsidR="00954500" w14:paraId="72E30096" w14:textId="77777777" w:rsidTr="00954500">
        <w:trPr>
          <w:trHeight w:val="615"/>
        </w:trPr>
        <w:tc>
          <w:tcPr>
            <w:tcW w:w="0" w:type="auto"/>
            <w:vMerge/>
            <w:tcBorders>
              <w:top w:val="single" w:sz="6" w:space="0" w:color="7F7F7F"/>
              <w:left w:val="single" w:sz="6" w:space="0" w:color="7F7F7F"/>
              <w:bottom w:val="dotted" w:sz="6" w:space="0" w:color="7F7F7F"/>
              <w:right w:val="nil"/>
            </w:tcBorders>
            <w:vAlign w:val="center"/>
            <w:hideMark/>
          </w:tcPr>
          <w:p w14:paraId="7D8BB3BE" w14:textId="77777777" w:rsidR="00954500" w:rsidRDefault="00954500">
            <w:pPr>
              <w:spacing w:after="0"/>
              <w:rPr>
                <w:rFonts w:ascii="Times New Roman" w:eastAsia="Times New Roman" w:hAnsi="Times New Roman" w:cs="Times New Roman"/>
                <w:sz w:val="20"/>
                <w:szCs w:val="20"/>
              </w:rPr>
            </w:pPr>
          </w:p>
        </w:tc>
        <w:tc>
          <w:tcPr>
            <w:tcW w:w="5462" w:type="dxa"/>
            <w:gridSpan w:val="3"/>
            <w:tcBorders>
              <w:top w:val="single" w:sz="6" w:space="0" w:color="auto"/>
              <w:left w:val="single" w:sz="6" w:space="0" w:color="auto"/>
              <w:bottom w:val="single" w:sz="6" w:space="0" w:color="auto"/>
              <w:right w:val="single" w:sz="6" w:space="0" w:color="auto"/>
            </w:tcBorders>
            <w:hideMark/>
          </w:tcPr>
          <w:p w14:paraId="737B8159"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Physical properties, categorization and factors affecting milk quality</w:t>
            </w: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hideMark/>
          </w:tcPr>
          <w:p w14:paraId="641E20F3"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6</w:t>
            </w:r>
            <w:r>
              <w:rPr>
                <w:rFonts w:ascii="Times New Roman" w:eastAsia="Times New Roman" w:hAnsi="Times New Roman" w:cs="Times New Roman"/>
                <w:color w:val="000000"/>
                <w:sz w:val="20"/>
                <w:szCs w:val="20"/>
              </w:rPr>
              <w:t> </w:t>
            </w:r>
          </w:p>
        </w:tc>
      </w:tr>
      <w:tr w:rsidR="00954500" w14:paraId="4B652130" w14:textId="77777777" w:rsidTr="00954500">
        <w:trPr>
          <w:trHeight w:val="270"/>
        </w:trPr>
        <w:tc>
          <w:tcPr>
            <w:tcW w:w="0" w:type="auto"/>
            <w:vMerge/>
            <w:tcBorders>
              <w:top w:val="single" w:sz="6" w:space="0" w:color="7F7F7F"/>
              <w:left w:val="single" w:sz="6" w:space="0" w:color="7F7F7F"/>
              <w:bottom w:val="dotted" w:sz="6" w:space="0" w:color="7F7F7F"/>
              <w:right w:val="nil"/>
            </w:tcBorders>
            <w:vAlign w:val="center"/>
            <w:hideMark/>
          </w:tcPr>
          <w:p w14:paraId="099A736E" w14:textId="77777777" w:rsidR="00954500" w:rsidRDefault="00954500">
            <w:pPr>
              <w:spacing w:after="0"/>
              <w:rPr>
                <w:rFonts w:ascii="Times New Roman" w:eastAsia="Times New Roman" w:hAnsi="Times New Roman" w:cs="Times New Roman"/>
                <w:sz w:val="20"/>
                <w:szCs w:val="20"/>
              </w:rPr>
            </w:pPr>
          </w:p>
        </w:tc>
        <w:tc>
          <w:tcPr>
            <w:tcW w:w="5462" w:type="dxa"/>
            <w:gridSpan w:val="3"/>
            <w:tcBorders>
              <w:top w:val="single" w:sz="6" w:space="0" w:color="auto"/>
              <w:left w:val="single" w:sz="6" w:space="0" w:color="auto"/>
              <w:bottom w:val="single" w:sz="6" w:space="0" w:color="auto"/>
              <w:right w:val="single" w:sz="6" w:space="0" w:color="auto"/>
            </w:tcBorders>
            <w:hideMark/>
          </w:tcPr>
          <w:p w14:paraId="054AFD09"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Presentation of Seminars </w:t>
            </w: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hideMark/>
          </w:tcPr>
          <w:p w14:paraId="28D9ECFB"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7</w:t>
            </w:r>
            <w:r>
              <w:rPr>
                <w:rFonts w:ascii="Times New Roman" w:eastAsia="Times New Roman" w:hAnsi="Times New Roman" w:cs="Times New Roman"/>
                <w:color w:val="000000"/>
                <w:sz w:val="20"/>
                <w:szCs w:val="20"/>
              </w:rPr>
              <w:t> </w:t>
            </w:r>
          </w:p>
        </w:tc>
      </w:tr>
      <w:tr w:rsidR="00954500" w14:paraId="63F8DE1F" w14:textId="77777777" w:rsidTr="00954500">
        <w:trPr>
          <w:trHeight w:val="510"/>
        </w:trPr>
        <w:tc>
          <w:tcPr>
            <w:tcW w:w="0" w:type="auto"/>
            <w:vMerge/>
            <w:tcBorders>
              <w:top w:val="single" w:sz="6" w:space="0" w:color="7F7F7F"/>
              <w:left w:val="single" w:sz="6" w:space="0" w:color="7F7F7F"/>
              <w:bottom w:val="dotted" w:sz="6" w:space="0" w:color="7F7F7F"/>
              <w:right w:val="nil"/>
            </w:tcBorders>
            <w:vAlign w:val="center"/>
            <w:hideMark/>
          </w:tcPr>
          <w:p w14:paraId="01B71DA3" w14:textId="77777777" w:rsidR="00954500" w:rsidRDefault="00954500">
            <w:pPr>
              <w:spacing w:after="0"/>
              <w:rPr>
                <w:rFonts w:ascii="Times New Roman" w:eastAsia="Times New Roman" w:hAnsi="Times New Roman" w:cs="Times New Roman"/>
                <w:sz w:val="20"/>
                <w:szCs w:val="20"/>
              </w:rPr>
            </w:pPr>
          </w:p>
        </w:tc>
        <w:tc>
          <w:tcPr>
            <w:tcW w:w="5462" w:type="dxa"/>
            <w:gridSpan w:val="3"/>
            <w:tcBorders>
              <w:top w:val="single" w:sz="6" w:space="0" w:color="auto"/>
              <w:left w:val="single" w:sz="6" w:space="0" w:color="auto"/>
              <w:bottom w:val="single" w:sz="6" w:space="0" w:color="auto"/>
              <w:right w:val="single" w:sz="6" w:space="0" w:color="auto"/>
            </w:tcBorders>
            <w:hideMark/>
          </w:tcPr>
          <w:p w14:paraId="68F8989B"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The influence of technological factors and hygienic measures on the quality of milk</w:t>
            </w:r>
            <w:r>
              <w:rPr>
                <w:rFonts w:ascii="Times New Roman" w:eastAsia="Times New Roman" w:hAnsi="Times New Roman" w:cs="Times New Roman"/>
                <w:color w:val="000000"/>
                <w:sz w:val="20"/>
                <w:szCs w:val="20"/>
              </w:rPr>
              <w:t> </w:t>
            </w:r>
          </w:p>
          <w:p w14:paraId="24035A77"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hideMark/>
          </w:tcPr>
          <w:p w14:paraId="2FB23DC8"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8</w:t>
            </w:r>
            <w:r>
              <w:rPr>
                <w:rFonts w:ascii="Times New Roman" w:eastAsia="Times New Roman" w:hAnsi="Times New Roman" w:cs="Times New Roman"/>
                <w:color w:val="000000"/>
                <w:sz w:val="20"/>
                <w:szCs w:val="20"/>
              </w:rPr>
              <w:t> </w:t>
            </w:r>
          </w:p>
        </w:tc>
      </w:tr>
      <w:tr w:rsidR="00954500" w14:paraId="16499A55" w14:textId="77777777" w:rsidTr="00954500">
        <w:trPr>
          <w:trHeight w:val="285"/>
        </w:trPr>
        <w:tc>
          <w:tcPr>
            <w:tcW w:w="0" w:type="auto"/>
            <w:vMerge/>
            <w:tcBorders>
              <w:top w:val="single" w:sz="6" w:space="0" w:color="7F7F7F"/>
              <w:left w:val="single" w:sz="6" w:space="0" w:color="7F7F7F"/>
              <w:bottom w:val="dotted" w:sz="6" w:space="0" w:color="7F7F7F"/>
              <w:right w:val="nil"/>
            </w:tcBorders>
            <w:vAlign w:val="center"/>
            <w:hideMark/>
          </w:tcPr>
          <w:p w14:paraId="5D6E3B81" w14:textId="77777777" w:rsidR="00954500" w:rsidRDefault="00954500">
            <w:pPr>
              <w:spacing w:after="0"/>
              <w:rPr>
                <w:rFonts w:ascii="Times New Roman" w:eastAsia="Times New Roman" w:hAnsi="Times New Roman" w:cs="Times New Roman"/>
                <w:sz w:val="20"/>
                <w:szCs w:val="20"/>
              </w:rPr>
            </w:pPr>
          </w:p>
        </w:tc>
        <w:tc>
          <w:tcPr>
            <w:tcW w:w="5462" w:type="dxa"/>
            <w:gridSpan w:val="3"/>
            <w:tcBorders>
              <w:top w:val="single" w:sz="6" w:space="0" w:color="auto"/>
              <w:left w:val="single" w:sz="6" w:space="0" w:color="auto"/>
              <w:bottom w:val="single" w:sz="6" w:space="0" w:color="auto"/>
              <w:right w:val="single" w:sz="6" w:space="0" w:color="auto"/>
            </w:tcBorders>
            <w:hideMark/>
          </w:tcPr>
          <w:p w14:paraId="68EDA172"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Meat as a raw material and its properties</w:t>
            </w:r>
            <w:r>
              <w:rPr>
                <w:rFonts w:ascii="Times New Roman" w:eastAsia="Times New Roman" w:hAnsi="Times New Roman" w:cs="Times New Roman"/>
                <w:color w:val="000000"/>
                <w:sz w:val="20"/>
                <w:szCs w:val="20"/>
              </w:rPr>
              <w:t> </w:t>
            </w:r>
          </w:p>
          <w:p w14:paraId="7F578D98"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hideMark/>
          </w:tcPr>
          <w:p w14:paraId="5CDFF1BC"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9</w:t>
            </w:r>
            <w:r>
              <w:rPr>
                <w:rFonts w:ascii="Times New Roman" w:eastAsia="Times New Roman" w:hAnsi="Times New Roman" w:cs="Times New Roman"/>
                <w:color w:val="000000"/>
                <w:sz w:val="20"/>
                <w:szCs w:val="20"/>
              </w:rPr>
              <w:t> </w:t>
            </w:r>
          </w:p>
        </w:tc>
      </w:tr>
      <w:tr w:rsidR="00954500" w14:paraId="12A9F76E" w14:textId="77777777" w:rsidTr="00954500">
        <w:trPr>
          <w:trHeight w:val="420"/>
        </w:trPr>
        <w:tc>
          <w:tcPr>
            <w:tcW w:w="0" w:type="auto"/>
            <w:vMerge/>
            <w:tcBorders>
              <w:top w:val="single" w:sz="6" w:space="0" w:color="7F7F7F"/>
              <w:left w:val="single" w:sz="6" w:space="0" w:color="7F7F7F"/>
              <w:bottom w:val="dotted" w:sz="6" w:space="0" w:color="7F7F7F"/>
              <w:right w:val="nil"/>
            </w:tcBorders>
            <w:vAlign w:val="center"/>
            <w:hideMark/>
          </w:tcPr>
          <w:p w14:paraId="20B26AF9" w14:textId="77777777" w:rsidR="00954500" w:rsidRDefault="00954500">
            <w:pPr>
              <w:spacing w:after="0"/>
              <w:rPr>
                <w:rFonts w:ascii="Times New Roman" w:eastAsia="Times New Roman" w:hAnsi="Times New Roman" w:cs="Times New Roman"/>
                <w:sz w:val="20"/>
                <w:szCs w:val="20"/>
              </w:rPr>
            </w:pPr>
          </w:p>
        </w:tc>
        <w:tc>
          <w:tcPr>
            <w:tcW w:w="5462" w:type="dxa"/>
            <w:gridSpan w:val="3"/>
            <w:tcBorders>
              <w:top w:val="single" w:sz="6" w:space="0" w:color="auto"/>
              <w:left w:val="single" w:sz="6" w:space="0" w:color="auto"/>
              <w:bottom w:val="single" w:sz="6" w:space="0" w:color="auto"/>
              <w:right w:val="single" w:sz="6" w:space="0" w:color="auto"/>
            </w:tcBorders>
            <w:hideMark/>
          </w:tcPr>
          <w:p w14:paraId="77BE9FDB"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Transport of animals for slaughter and slaughterhouse facilities</w:t>
            </w:r>
            <w:r>
              <w:rPr>
                <w:rFonts w:ascii="Times New Roman" w:eastAsia="Times New Roman" w:hAnsi="Times New Roman" w:cs="Times New Roman"/>
                <w:color w:val="000000"/>
                <w:sz w:val="20"/>
                <w:szCs w:val="20"/>
              </w:rPr>
              <w:t> </w:t>
            </w:r>
          </w:p>
          <w:p w14:paraId="670786BF"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hideMark/>
          </w:tcPr>
          <w:p w14:paraId="26C946B3"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10</w:t>
            </w:r>
            <w:r>
              <w:rPr>
                <w:rFonts w:ascii="Times New Roman" w:eastAsia="Times New Roman" w:hAnsi="Times New Roman" w:cs="Times New Roman"/>
                <w:color w:val="000000"/>
                <w:sz w:val="20"/>
                <w:szCs w:val="20"/>
              </w:rPr>
              <w:t> </w:t>
            </w:r>
          </w:p>
        </w:tc>
      </w:tr>
      <w:tr w:rsidR="00954500" w14:paraId="6C843DC7" w14:textId="77777777" w:rsidTr="00954500">
        <w:trPr>
          <w:trHeight w:val="540"/>
        </w:trPr>
        <w:tc>
          <w:tcPr>
            <w:tcW w:w="0" w:type="auto"/>
            <w:vMerge/>
            <w:tcBorders>
              <w:top w:val="single" w:sz="6" w:space="0" w:color="7F7F7F"/>
              <w:left w:val="single" w:sz="6" w:space="0" w:color="7F7F7F"/>
              <w:bottom w:val="dotted" w:sz="6" w:space="0" w:color="7F7F7F"/>
              <w:right w:val="nil"/>
            </w:tcBorders>
            <w:vAlign w:val="center"/>
            <w:hideMark/>
          </w:tcPr>
          <w:p w14:paraId="1D85E57E" w14:textId="77777777" w:rsidR="00954500" w:rsidRDefault="00954500">
            <w:pPr>
              <w:spacing w:after="0"/>
              <w:rPr>
                <w:rFonts w:ascii="Times New Roman" w:eastAsia="Times New Roman" w:hAnsi="Times New Roman" w:cs="Times New Roman"/>
                <w:sz w:val="20"/>
                <w:szCs w:val="20"/>
              </w:rPr>
            </w:pPr>
          </w:p>
        </w:tc>
        <w:tc>
          <w:tcPr>
            <w:tcW w:w="5462" w:type="dxa"/>
            <w:gridSpan w:val="3"/>
            <w:tcBorders>
              <w:top w:val="single" w:sz="6" w:space="0" w:color="auto"/>
              <w:left w:val="single" w:sz="6" w:space="0" w:color="auto"/>
              <w:bottom w:val="single" w:sz="6" w:space="0" w:color="auto"/>
              <w:right w:val="single" w:sz="6" w:space="0" w:color="auto"/>
            </w:tcBorders>
            <w:hideMark/>
          </w:tcPr>
          <w:p w14:paraId="34C1E4E5"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Poultry and its importance in the production of raw materials of animal origin</w:t>
            </w:r>
            <w:r>
              <w:rPr>
                <w:rFonts w:ascii="Times New Roman" w:eastAsia="Times New Roman" w:hAnsi="Times New Roman" w:cs="Times New Roman"/>
                <w:color w:val="000000"/>
                <w:sz w:val="20"/>
                <w:szCs w:val="20"/>
              </w:rPr>
              <w:t> </w:t>
            </w:r>
          </w:p>
          <w:p w14:paraId="0D770208"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hideMark/>
          </w:tcPr>
          <w:p w14:paraId="2995A268"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11</w:t>
            </w:r>
            <w:r>
              <w:rPr>
                <w:rFonts w:ascii="Times New Roman" w:eastAsia="Times New Roman" w:hAnsi="Times New Roman" w:cs="Times New Roman"/>
                <w:color w:val="000000"/>
                <w:sz w:val="20"/>
                <w:szCs w:val="20"/>
              </w:rPr>
              <w:t> </w:t>
            </w:r>
          </w:p>
        </w:tc>
      </w:tr>
      <w:tr w:rsidR="00954500" w14:paraId="33D995FD" w14:textId="77777777" w:rsidTr="00954500">
        <w:trPr>
          <w:trHeight w:val="495"/>
        </w:trPr>
        <w:tc>
          <w:tcPr>
            <w:tcW w:w="0" w:type="auto"/>
            <w:vMerge/>
            <w:tcBorders>
              <w:top w:val="single" w:sz="6" w:space="0" w:color="7F7F7F"/>
              <w:left w:val="single" w:sz="6" w:space="0" w:color="7F7F7F"/>
              <w:bottom w:val="dotted" w:sz="6" w:space="0" w:color="7F7F7F"/>
              <w:right w:val="nil"/>
            </w:tcBorders>
            <w:vAlign w:val="center"/>
            <w:hideMark/>
          </w:tcPr>
          <w:p w14:paraId="2842FEDE" w14:textId="77777777" w:rsidR="00954500" w:rsidRDefault="00954500">
            <w:pPr>
              <w:spacing w:after="0"/>
              <w:rPr>
                <w:rFonts w:ascii="Times New Roman" w:eastAsia="Times New Roman" w:hAnsi="Times New Roman" w:cs="Times New Roman"/>
                <w:sz w:val="20"/>
                <w:szCs w:val="20"/>
              </w:rPr>
            </w:pPr>
          </w:p>
        </w:tc>
        <w:tc>
          <w:tcPr>
            <w:tcW w:w="5462" w:type="dxa"/>
            <w:gridSpan w:val="3"/>
            <w:tcBorders>
              <w:top w:val="single" w:sz="6" w:space="0" w:color="auto"/>
              <w:left w:val="single" w:sz="6" w:space="0" w:color="auto"/>
              <w:bottom w:val="single" w:sz="6" w:space="0" w:color="auto"/>
              <w:right w:val="single" w:sz="6" w:space="0" w:color="auto"/>
            </w:tcBorders>
            <w:hideMark/>
          </w:tcPr>
          <w:p w14:paraId="2D3862FE"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Aquaculture and its importance in the production of raw materials of animal origin</w:t>
            </w:r>
            <w:r>
              <w:rPr>
                <w:rFonts w:ascii="Times New Roman" w:eastAsia="Times New Roman" w:hAnsi="Times New Roman" w:cs="Times New Roman"/>
                <w:color w:val="000000"/>
                <w:sz w:val="20"/>
                <w:szCs w:val="20"/>
              </w:rPr>
              <w:t> </w:t>
            </w:r>
          </w:p>
          <w:p w14:paraId="673A63AB"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hideMark/>
          </w:tcPr>
          <w:p w14:paraId="460E7634"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12</w:t>
            </w:r>
            <w:r>
              <w:rPr>
                <w:rFonts w:ascii="Times New Roman" w:eastAsia="Times New Roman" w:hAnsi="Times New Roman" w:cs="Times New Roman"/>
                <w:color w:val="000000"/>
                <w:sz w:val="20"/>
                <w:szCs w:val="20"/>
              </w:rPr>
              <w:t> </w:t>
            </w:r>
          </w:p>
        </w:tc>
      </w:tr>
      <w:tr w:rsidR="00954500" w14:paraId="7544A433" w14:textId="77777777" w:rsidTr="00954500">
        <w:trPr>
          <w:trHeight w:val="540"/>
        </w:trPr>
        <w:tc>
          <w:tcPr>
            <w:tcW w:w="0" w:type="auto"/>
            <w:vMerge/>
            <w:tcBorders>
              <w:top w:val="single" w:sz="6" w:space="0" w:color="7F7F7F"/>
              <w:left w:val="single" w:sz="6" w:space="0" w:color="7F7F7F"/>
              <w:bottom w:val="dotted" w:sz="6" w:space="0" w:color="7F7F7F"/>
              <w:right w:val="nil"/>
            </w:tcBorders>
            <w:vAlign w:val="center"/>
            <w:hideMark/>
          </w:tcPr>
          <w:p w14:paraId="3D5BD05F" w14:textId="77777777" w:rsidR="00954500" w:rsidRDefault="00954500">
            <w:pPr>
              <w:spacing w:after="0"/>
              <w:rPr>
                <w:rFonts w:ascii="Times New Roman" w:eastAsia="Times New Roman" w:hAnsi="Times New Roman" w:cs="Times New Roman"/>
                <w:sz w:val="20"/>
                <w:szCs w:val="20"/>
              </w:rPr>
            </w:pPr>
          </w:p>
        </w:tc>
        <w:tc>
          <w:tcPr>
            <w:tcW w:w="5462" w:type="dxa"/>
            <w:gridSpan w:val="3"/>
            <w:tcBorders>
              <w:top w:val="single" w:sz="6" w:space="0" w:color="auto"/>
              <w:left w:val="single" w:sz="6" w:space="0" w:color="auto"/>
              <w:bottom w:val="single" w:sz="6" w:space="0" w:color="auto"/>
              <w:right w:val="single" w:sz="6" w:space="0" w:color="auto"/>
            </w:tcBorders>
            <w:hideMark/>
          </w:tcPr>
          <w:p w14:paraId="06558E9A"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Apiculture and its importance in the production of raw materials of animal origin</w:t>
            </w:r>
            <w:r>
              <w:rPr>
                <w:rFonts w:ascii="Times New Roman" w:eastAsia="Times New Roman" w:hAnsi="Times New Roman" w:cs="Times New Roman"/>
                <w:color w:val="000000"/>
                <w:sz w:val="20"/>
                <w:szCs w:val="20"/>
              </w:rPr>
              <w:t> </w:t>
            </w:r>
          </w:p>
          <w:p w14:paraId="1B4C655E"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hideMark/>
          </w:tcPr>
          <w:p w14:paraId="5CD97C32"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13</w:t>
            </w:r>
            <w:r>
              <w:rPr>
                <w:rFonts w:ascii="Times New Roman" w:eastAsia="Times New Roman" w:hAnsi="Times New Roman" w:cs="Times New Roman"/>
                <w:color w:val="000000"/>
                <w:sz w:val="20"/>
                <w:szCs w:val="20"/>
              </w:rPr>
              <w:t> </w:t>
            </w:r>
          </w:p>
          <w:p w14:paraId="1E7E7B15"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954500" w14:paraId="30341C32" w14:textId="77777777" w:rsidTr="00954500">
        <w:trPr>
          <w:trHeight w:val="300"/>
        </w:trPr>
        <w:tc>
          <w:tcPr>
            <w:tcW w:w="0" w:type="auto"/>
            <w:vMerge/>
            <w:tcBorders>
              <w:top w:val="single" w:sz="6" w:space="0" w:color="7F7F7F"/>
              <w:left w:val="single" w:sz="6" w:space="0" w:color="7F7F7F"/>
              <w:bottom w:val="dotted" w:sz="6" w:space="0" w:color="7F7F7F"/>
              <w:right w:val="nil"/>
            </w:tcBorders>
            <w:vAlign w:val="center"/>
            <w:hideMark/>
          </w:tcPr>
          <w:p w14:paraId="655C34FB" w14:textId="77777777" w:rsidR="00954500" w:rsidRDefault="00954500">
            <w:pPr>
              <w:spacing w:after="0"/>
              <w:rPr>
                <w:rFonts w:ascii="Times New Roman" w:eastAsia="Times New Roman" w:hAnsi="Times New Roman" w:cs="Times New Roman"/>
                <w:sz w:val="20"/>
                <w:szCs w:val="20"/>
              </w:rPr>
            </w:pPr>
          </w:p>
        </w:tc>
        <w:tc>
          <w:tcPr>
            <w:tcW w:w="5462" w:type="dxa"/>
            <w:gridSpan w:val="3"/>
            <w:tcBorders>
              <w:top w:val="single" w:sz="6" w:space="0" w:color="auto"/>
              <w:left w:val="single" w:sz="6" w:space="0" w:color="auto"/>
              <w:bottom w:val="single" w:sz="6" w:space="0" w:color="auto"/>
              <w:right w:val="single" w:sz="6" w:space="0" w:color="auto"/>
            </w:tcBorders>
            <w:hideMark/>
          </w:tcPr>
          <w:p w14:paraId="1D697626"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Presentation of case studies</w:t>
            </w:r>
            <w:r>
              <w:rPr>
                <w:rFonts w:ascii="Times New Roman" w:eastAsia="Times New Roman" w:hAnsi="Times New Roman" w:cs="Times New Roman"/>
                <w:color w:val="000000"/>
                <w:sz w:val="20"/>
                <w:szCs w:val="20"/>
              </w:rPr>
              <w:t> </w:t>
            </w:r>
          </w:p>
          <w:p w14:paraId="71E65808"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hideMark/>
          </w:tcPr>
          <w:p w14:paraId="2CCC2F02"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14</w:t>
            </w:r>
            <w:r>
              <w:rPr>
                <w:rFonts w:ascii="Times New Roman" w:eastAsia="Times New Roman" w:hAnsi="Times New Roman" w:cs="Times New Roman"/>
                <w:color w:val="000000"/>
                <w:sz w:val="20"/>
                <w:szCs w:val="20"/>
              </w:rPr>
              <w:t> </w:t>
            </w:r>
          </w:p>
        </w:tc>
      </w:tr>
      <w:tr w:rsidR="00954500" w14:paraId="6A76DC6E" w14:textId="77777777" w:rsidTr="00954500">
        <w:trPr>
          <w:trHeight w:val="360"/>
        </w:trPr>
        <w:tc>
          <w:tcPr>
            <w:tcW w:w="2244" w:type="dxa"/>
            <w:tcBorders>
              <w:top w:val="nil"/>
              <w:left w:val="single" w:sz="6" w:space="0" w:color="7F7F7F"/>
              <w:bottom w:val="nil"/>
              <w:right w:val="single" w:sz="6" w:space="0" w:color="auto"/>
            </w:tcBorders>
            <w:shd w:val="clear" w:color="auto" w:fill="D9E2F3"/>
            <w:vAlign w:val="center"/>
            <w:hideMark/>
          </w:tcPr>
          <w:p w14:paraId="5A2A740B"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5462" w:type="dxa"/>
            <w:gridSpan w:val="3"/>
            <w:tcBorders>
              <w:top w:val="single" w:sz="6" w:space="0" w:color="auto"/>
              <w:left w:val="single" w:sz="6" w:space="0" w:color="auto"/>
              <w:bottom w:val="single" w:sz="6" w:space="0" w:color="auto"/>
              <w:right w:val="single" w:sz="6" w:space="0" w:color="auto"/>
            </w:tcBorders>
            <w:hideMark/>
          </w:tcPr>
          <w:p w14:paraId="29B2A795"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Final assessment</w:t>
            </w: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hideMark/>
          </w:tcPr>
          <w:p w14:paraId="45D3D3F3"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15</w:t>
            </w:r>
            <w:r>
              <w:rPr>
                <w:rFonts w:ascii="Times New Roman" w:eastAsia="Times New Roman" w:hAnsi="Times New Roman" w:cs="Times New Roman"/>
                <w:color w:val="000000"/>
                <w:sz w:val="20"/>
                <w:szCs w:val="20"/>
              </w:rPr>
              <w:t> </w:t>
            </w:r>
          </w:p>
        </w:tc>
      </w:tr>
      <w:tr w:rsidR="00954500" w14:paraId="0677901C" w14:textId="77777777" w:rsidTr="00954500">
        <w:trPr>
          <w:trHeight w:val="375"/>
        </w:trPr>
        <w:tc>
          <w:tcPr>
            <w:tcW w:w="2244" w:type="dxa"/>
            <w:vMerge w:val="restart"/>
            <w:tcBorders>
              <w:top w:val="single" w:sz="6" w:space="0" w:color="7F7F7F"/>
              <w:left w:val="single" w:sz="6" w:space="0" w:color="7F7F7F"/>
              <w:bottom w:val="dotted" w:sz="6" w:space="0" w:color="7F7F7F"/>
              <w:right w:val="single" w:sz="6" w:space="0" w:color="auto"/>
            </w:tcBorders>
            <w:shd w:val="clear" w:color="auto" w:fill="D9E2F3"/>
            <w:vAlign w:val="center"/>
            <w:hideMark/>
          </w:tcPr>
          <w:p w14:paraId="6CF348EA"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Teaching/</w:t>
            </w:r>
            <w:r>
              <w:rPr>
                <w:rFonts w:ascii="Times New Roman" w:eastAsia="Times New Roman" w:hAnsi="Times New Roman" w:cs="Times New Roman"/>
                <w:color w:val="000000"/>
                <w:sz w:val="20"/>
                <w:szCs w:val="20"/>
              </w:rPr>
              <w:t> </w:t>
            </w:r>
          </w:p>
          <w:p w14:paraId="4C413ADC"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Learning</w:t>
            </w:r>
            <w:r>
              <w:rPr>
                <w:rFonts w:ascii="Times New Roman" w:eastAsia="Times New Roman" w:hAnsi="Times New Roman" w:cs="Times New Roman"/>
                <w:color w:val="000000"/>
                <w:sz w:val="20"/>
                <w:szCs w:val="20"/>
              </w:rPr>
              <w:t> </w:t>
            </w:r>
          </w:p>
          <w:p w14:paraId="7D7BDB84"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methods </w:t>
            </w:r>
            <w:r>
              <w:rPr>
                <w:rFonts w:ascii="Times New Roman" w:eastAsia="Times New Roman" w:hAnsi="Times New Roman" w:cs="Times New Roman"/>
                <w:color w:val="000000"/>
                <w:sz w:val="20"/>
                <w:szCs w:val="20"/>
              </w:rPr>
              <w:t> </w:t>
            </w:r>
          </w:p>
        </w:tc>
        <w:tc>
          <w:tcPr>
            <w:tcW w:w="5462"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13A14FBE"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Learning activity </w:t>
            </w:r>
            <w:r>
              <w:rPr>
                <w:rFonts w:ascii="Times New Roman" w:eastAsia="Times New Roman" w:hAnsi="Times New Roman" w:cs="Times New Roman"/>
                <w:color w:val="000000"/>
                <w:sz w:val="20"/>
                <w:szCs w:val="20"/>
              </w:rPr>
              <w:t> </w:t>
            </w:r>
          </w:p>
        </w:tc>
        <w:tc>
          <w:tcPr>
            <w:tcW w:w="1916" w:type="dxa"/>
            <w:tcBorders>
              <w:top w:val="single" w:sz="6" w:space="0" w:color="auto"/>
              <w:left w:val="single" w:sz="6" w:space="0" w:color="auto"/>
              <w:bottom w:val="single" w:sz="6" w:space="0" w:color="auto"/>
              <w:right w:val="single" w:sz="6" w:space="0" w:color="auto"/>
            </w:tcBorders>
            <w:shd w:val="clear" w:color="auto" w:fill="F2F2F2"/>
            <w:hideMark/>
          </w:tcPr>
          <w:p w14:paraId="2E7CD802"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Weight % </w:t>
            </w:r>
            <w:r>
              <w:rPr>
                <w:rFonts w:ascii="Times New Roman" w:eastAsia="Times New Roman" w:hAnsi="Times New Roman" w:cs="Times New Roman"/>
                <w:color w:val="000000"/>
                <w:sz w:val="20"/>
                <w:szCs w:val="20"/>
              </w:rPr>
              <w:t> </w:t>
            </w:r>
          </w:p>
        </w:tc>
      </w:tr>
      <w:tr w:rsidR="00954500" w14:paraId="7444474D" w14:textId="77777777" w:rsidTr="00954500">
        <w:trPr>
          <w:trHeight w:val="1140"/>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33E02B4F" w14:textId="77777777" w:rsidR="00954500" w:rsidRDefault="00954500">
            <w:pPr>
              <w:spacing w:after="0"/>
              <w:rPr>
                <w:rFonts w:ascii="Times New Roman" w:eastAsia="Times New Roman" w:hAnsi="Times New Roman" w:cs="Times New Roman"/>
                <w:sz w:val="20"/>
                <w:szCs w:val="20"/>
              </w:rPr>
            </w:pPr>
          </w:p>
        </w:tc>
        <w:tc>
          <w:tcPr>
            <w:tcW w:w="7378" w:type="dxa"/>
            <w:gridSpan w:val="4"/>
            <w:tcBorders>
              <w:top w:val="single" w:sz="6" w:space="0" w:color="auto"/>
              <w:left w:val="single" w:sz="6" w:space="0" w:color="auto"/>
              <w:bottom w:val="dotted" w:sz="6" w:space="0" w:color="7F7F7F"/>
              <w:right w:val="single" w:sz="6" w:space="0" w:color="auto"/>
            </w:tcBorders>
            <w:hideMark/>
          </w:tcPr>
          <w:p w14:paraId="39EA44D3"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6B5F254C"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1. Lecture: 15%</w:t>
            </w:r>
            <w:r>
              <w:rPr>
                <w:rFonts w:ascii="Times New Roman" w:eastAsia="Times New Roman" w:hAnsi="Times New Roman" w:cs="Times New Roman"/>
                <w:sz w:val="20"/>
                <w:szCs w:val="20"/>
              </w:rPr>
              <w:t> </w:t>
            </w:r>
          </w:p>
          <w:p w14:paraId="3C26BBDC"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Goal: To present the main concepts, models and theories in the management of knowledge in raw materials of animal origin</w:t>
            </w:r>
            <w:r>
              <w:rPr>
                <w:rFonts w:ascii="Times New Roman" w:eastAsia="Times New Roman" w:hAnsi="Times New Roman" w:cs="Times New Roman"/>
                <w:sz w:val="20"/>
                <w:szCs w:val="20"/>
              </w:rPr>
              <w:t> </w:t>
            </w:r>
          </w:p>
          <w:p w14:paraId="3501CC73"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-Relevant to: Building fundamental understanding and providing a theoretical framework for the subject.</w:t>
            </w:r>
            <w:r>
              <w:rPr>
                <w:rFonts w:ascii="Times New Roman" w:eastAsia="Times New Roman" w:hAnsi="Times New Roman" w:cs="Times New Roman"/>
                <w:sz w:val="20"/>
                <w:szCs w:val="20"/>
              </w:rPr>
              <w:t> </w:t>
            </w:r>
          </w:p>
          <w:p w14:paraId="210D3657"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2. Case studies and analysis: 25%</w:t>
            </w:r>
            <w:r>
              <w:rPr>
                <w:rFonts w:ascii="Times New Roman" w:eastAsia="Times New Roman" w:hAnsi="Times New Roman" w:cs="Times New Roman"/>
                <w:sz w:val="20"/>
                <w:szCs w:val="20"/>
              </w:rPr>
              <w:t> </w:t>
            </w:r>
          </w:p>
          <w:p w14:paraId="12EA63ED"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Goal: To apply the theoretical knowledge in practical scenarios in sample analyzation</w:t>
            </w:r>
            <w:r>
              <w:rPr>
                <w:rFonts w:ascii="Times New Roman" w:eastAsia="Times New Roman" w:hAnsi="Times New Roman" w:cs="Times New Roman"/>
                <w:sz w:val="20"/>
                <w:szCs w:val="20"/>
              </w:rPr>
              <w:t> </w:t>
            </w:r>
          </w:p>
          <w:p w14:paraId="4508370A"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-Important for: Critical evaluation of the effectiveness of knowledge management in different contexts and reflection on practical examples.</w:t>
            </w:r>
            <w:r>
              <w:rPr>
                <w:rFonts w:ascii="Times New Roman" w:eastAsia="Times New Roman" w:hAnsi="Times New Roman" w:cs="Times New Roman"/>
                <w:sz w:val="20"/>
                <w:szCs w:val="20"/>
              </w:rPr>
              <w:t> </w:t>
            </w:r>
          </w:p>
          <w:p w14:paraId="67346075"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3. Group discussions and seminars: 20%</w:t>
            </w:r>
            <w:r>
              <w:rPr>
                <w:rFonts w:ascii="Times New Roman" w:eastAsia="Times New Roman" w:hAnsi="Times New Roman" w:cs="Times New Roman"/>
                <w:sz w:val="20"/>
                <w:szCs w:val="20"/>
              </w:rPr>
              <w:t> </w:t>
            </w:r>
          </w:p>
          <w:p w14:paraId="5F6562EF"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-Goal: To encourage interactive learning, exchange of ideas and development of critical thinking.</w:t>
            </w:r>
            <w:r>
              <w:rPr>
                <w:rFonts w:ascii="Times New Roman" w:eastAsia="Times New Roman" w:hAnsi="Times New Roman" w:cs="Times New Roman"/>
                <w:sz w:val="20"/>
                <w:szCs w:val="20"/>
              </w:rPr>
              <w:t> </w:t>
            </w:r>
          </w:p>
          <w:p w14:paraId="4F916362"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-Relevant for: In-depth discussion of different models and theories and reflection on their application in raw materials of animal origin1.</w:t>
            </w:r>
            <w:r>
              <w:rPr>
                <w:rFonts w:ascii="Times New Roman" w:eastAsia="Times New Roman" w:hAnsi="Times New Roman" w:cs="Times New Roman"/>
                <w:sz w:val="20"/>
                <w:szCs w:val="20"/>
              </w:rPr>
              <w:t> </w:t>
            </w:r>
          </w:p>
          <w:p w14:paraId="179E8A69"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8308F86"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4. Project work: 20%</w:t>
            </w:r>
            <w:r>
              <w:rPr>
                <w:rFonts w:ascii="Times New Roman" w:eastAsia="Times New Roman" w:hAnsi="Times New Roman" w:cs="Times New Roman"/>
                <w:sz w:val="20"/>
                <w:szCs w:val="20"/>
              </w:rPr>
              <w:t> </w:t>
            </w:r>
          </w:p>
          <w:p w14:paraId="39FED60E"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Goal: To promote creativity, application of practical skills and cooperative learning.</w:t>
            </w:r>
            <w:r>
              <w:rPr>
                <w:rFonts w:ascii="Times New Roman" w:eastAsia="Times New Roman" w:hAnsi="Times New Roman" w:cs="Times New Roman"/>
                <w:sz w:val="20"/>
                <w:szCs w:val="20"/>
              </w:rPr>
              <w:t> </w:t>
            </w:r>
          </w:p>
          <w:p w14:paraId="0066B0C8"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-Important for: Developing new and creative ways of knowledge management in the course contexts of animal raw materials and identifying barriers and facilitators for knowledge management.</w:t>
            </w:r>
            <w:r>
              <w:rPr>
                <w:rFonts w:ascii="Times New Roman" w:eastAsia="Times New Roman" w:hAnsi="Times New Roman" w:cs="Times New Roman"/>
                <w:sz w:val="20"/>
                <w:szCs w:val="20"/>
              </w:rPr>
              <w:t> </w:t>
            </w:r>
          </w:p>
          <w:p w14:paraId="7E988606"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5. Assignments and Research Papers: 10%</w:t>
            </w:r>
            <w:r>
              <w:rPr>
                <w:rFonts w:ascii="Times New Roman" w:eastAsia="Times New Roman" w:hAnsi="Times New Roman" w:cs="Times New Roman"/>
                <w:sz w:val="20"/>
                <w:szCs w:val="20"/>
              </w:rPr>
              <w:t> </w:t>
            </w:r>
          </w:p>
          <w:p w14:paraId="3C5A9C2D"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-Goal: To increase research skills and the ability to critically analyse information.</w:t>
            </w:r>
            <w:r>
              <w:rPr>
                <w:rFonts w:ascii="Times New Roman" w:eastAsia="Times New Roman" w:hAnsi="Times New Roman" w:cs="Times New Roman"/>
                <w:sz w:val="20"/>
                <w:szCs w:val="20"/>
              </w:rPr>
              <w:t> </w:t>
            </w:r>
          </w:p>
          <w:p w14:paraId="7B264648"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-Relevant to: In-depth study of specific topics within knowledge management, increasing understanding through research.</w:t>
            </w:r>
            <w:r>
              <w:rPr>
                <w:rFonts w:ascii="Times New Roman" w:eastAsia="Times New Roman" w:hAnsi="Times New Roman" w:cs="Times New Roman"/>
                <w:sz w:val="20"/>
                <w:szCs w:val="20"/>
              </w:rPr>
              <w:t> </w:t>
            </w:r>
          </w:p>
          <w:p w14:paraId="0663337E"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lastRenderedPageBreak/>
              <w:t>6. Guest lectures and seminars: 10%</w:t>
            </w:r>
            <w:r>
              <w:rPr>
                <w:rFonts w:ascii="Times New Roman" w:eastAsia="Times New Roman" w:hAnsi="Times New Roman" w:cs="Times New Roman"/>
                <w:sz w:val="20"/>
                <w:szCs w:val="20"/>
              </w:rPr>
              <w:t> </w:t>
            </w:r>
          </w:p>
          <w:p w14:paraId="26BB1BA7"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Purpose: To provide exposure to industry experts and practical knowledge.</w:t>
            </w:r>
            <w:r>
              <w:rPr>
                <w:rFonts w:ascii="Times New Roman" w:eastAsia="Times New Roman" w:hAnsi="Times New Roman" w:cs="Times New Roman"/>
                <w:sz w:val="20"/>
                <w:szCs w:val="20"/>
              </w:rPr>
              <w:t> </w:t>
            </w:r>
          </w:p>
          <w:p w14:paraId="732095F4"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-Relevant for: Gaining different perspectives on management practices and challenges</w:t>
            </w:r>
            <w:r>
              <w:rPr>
                <w:rFonts w:ascii="Times New Roman" w:eastAsia="Times New Roman" w:hAnsi="Times New Roman" w:cs="Times New Roman"/>
                <w:sz w:val="20"/>
                <w:szCs w:val="20"/>
              </w:rPr>
              <w:t> </w:t>
            </w:r>
          </w:p>
          <w:p w14:paraId="4425AC00"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knowledge in raw materials of animal origin</w:t>
            </w:r>
            <w:r>
              <w:rPr>
                <w:rFonts w:ascii="Times New Roman" w:eastAsia="Times New Roman" w:hAnsi="Times New Roman" w:cs="Times New Roman"/>
                <w:sz w:val="20"/>
                <w:szCs w:val="20"/>
              </w:rPr>
              <w:t> </w:t>
            </w:r>
          </w:p>
        </w:tc>
      </w:tr>
      <w:tr w:rsidR="00954500" w14:paraId="51F2FBE0" w14:textId="77777777" w:rsidTr="00954500">
        <w:trPr>
          <w:trHeight w:val="300"/>
        </w:trPr>
        <w:tc>
          <w:tcPr>
            <w:tcW w:w="2244" w:type="dxa"/>
            <w:tcBorders>
              <w:top w:val="single" w:sz="6" w:space="0" w:color="7F7F7F"/>
              <w:left w:val="single" w:sz="6" w:space="0" w:color="7F7F7F"/>
              <w:bottom w:val="single" w:sz="6" w:space="0" w:color="7F7F7F"/>
              <w:right w:val="nil"/>
            </w:tcBorders>
            <w:shd w:val="clear" w:color="auto" w:fill="D9E2F3"/>
            <w:vAlign w:val="center"/>
            <w:hideMark/>
          </w:tcPr>
          <w:p w14:paraId="7A7043DD"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lastRenderedPageBreak/>
              <w:t>Literature/References</w:t>
            </w:r>
            <w:r>
              <w:rPr>
                <w:rFonts w:ascii="Times New Roman" w:eastAsia="Times New Roman" w:hAnsi="Times New Roman" w:cs="Times New Roman"/>
                <w:color w:val="000000"/>
                <w:sz w:val="20"/>
                <w:szCs w:val="20"/>
              </w:rPr>
              <w:t> </w:t>
            </w:r>
          </w:p>
        </w:tc>
        <w:tc>
          <w:tcPr>
            <w:tcW w:w="7378" w:type="dxa"/>
            <w:gridSpan w:val="4"/>
            <w:tcBorders>
              <w:top w:val="single" w:sz="6" w:space="0" w:color="auto"/>
              <w:left w:val="nil"/>
              <w:bottom w:val="single" w:sz="6" w:space="0" w:color="7F7F7F"/>
              <w:right w:val="single" w:sz="6" w:space="0" w:color="7F7F7F"/>
            </w:tcBorders>
            <w:hideMark/>
          </w:tcPr>
          <w:p w14:paraId="3FE86EE5" w14:textId="77777777" w:rsidR="00954500" w:rsidRDefault="00954500">
            <w:pPr>
              <w:spacing w:after="0" w:line="240" w:lineRule="auto"/>
              <w:ind w:left="39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2F31989"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Xhavit Bytyçi (2023</w:t>
            </w:r>
            <w:proofErr w:type="gramStart"/>
            <w:r>
              <w:rPr>
                <w:rFonts w:ascii="Times New Roman" w:eastAsia="Times New Roman" w:hAnsi="Times New Roman" w:cs="Times New Roman"/>
                <w:b/>
                <w:bCs/>
                <w:sz w:val="20"/>
                <w:szCs w:val="20"/>
                <w:lang w:val="en-GB"/>
              </w:rPr>
              <w:t>) ,</w:t>
            </w:r>
            <w:proofErr w:type="gramEnd"/>
            <w:r>
              <w:rPr>
                <w:rFonts w:ascii="Times New Roman" w:eastAsia="Times New Roman" w:hAnsi="Times New Roman" w:cs="Times New Roman"/>
                <w:b/>
                <w:bCs/>
                <w:sz w:val="20"/>
                <w:szCs w:val="20"/>
                <w:lang w:val="en-GB"/>
              </w:rPr>
              <w:t xml:space="preserve"> “Lëndët e para me origjinë shtazore “ , Prishtinë </w:t>
            </w:r>
            <w:r>
              <w:rPr>
                <w:rFonts w:ascii="Times New Roman" w:eastAsia="Times New Roman" w:hAnsi="Times New Roman" w:cs="Times New Roman"/>
                <w:sz w:val="20"/>
                <w:szCs w:val="20"/>
              </w:rPr>
              <w:t> </w:t>
            </w:r>
          </w:p>
          <w:p w14:paraId="53278E83"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Bijo, B. (2012):  Higjiena e ushqimeve me origjine shtazore, Tiranë. </w:t>
            </w:r>
            <w:r>
              <w:rPr>
                <w:rFonts w:ascii="Times New Roman" w:eastAsia="Times New Roman" w:hAnsi="Times New Roman" w:cs="Times New Roman"/>
                <w:sz w:val="20"/>
                <w:szCs w:val="20"/>
              </w:rPr>
              <w:t> </w:t>
            </w:r>
          </w:p>
          <w:p w14:paraId="2F930717"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Bijo, B. (2007): Higjiena e mishit dhe Thertoreve, Universiteti Bujqësor I Tiranës.</w:t>
            </w:r>
            <w:r>
              <w:rPr>
                <w:rFonts w:ascii="Times New Roman" w:eastAsia="Times New Roman" w:hAnsi="Times New Roman" w:cs="Times New Roman"/>
                <w:sz w:val="20"/>
                <w:szCs w:val="20"/>
              </w:rPr>
              <w:t> </w:t>
            </w:r>
          </w:p>
          <w:p w14:paraId="3683CC7B"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Shoshi, N. (2014): Higjiena veterinare, Universiteti Bujqësor I Tiranës. </w:t>
            </w:r>
            <w:r>
              <w:rPr>
                <w:rFonts w:ascii="Times New Roman" w:eastAsia="Times New Roman" w:hAnsi="Times New Roman" w:cs="Times New Roman"/>
                <w:sz w:val="20"/>
                <w:szCs w:val="20"/>
              </w:rPr>
              <w:t> </w:t>
            </w:r>
          </w:p>
          <w:p w14:paraId="79485D54"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Dedej, S. (1998): Prodhimi I kafshëve, Universiteti Bujqësor I Tiranës</w:t>
            </w:r>
            <w:r>
              <w:rPr>
                <w:rFonts w:ascii="Times New Roman" w:eastAsia="Times New Roman" w:hAnsi="Times New Roman" w:cs="Times New Roman"/>
                <w:sz w:val="20"/>
                <w:szCs w:val="20"/>
              </w:rPr>
              <w:t> </w:t>
            </w:r>
          </w:p>
          <w:p w14:paraId="683146C4"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Popesko, P.: Atlas de anatomia topografica de los animales domesticos, </w:t>
            </w:r>
            <w:proofErr w:type="gramStart"/>
            <w:r>
              <w:rPr>
                <w:rFonts w:ascii="Times New Roman" w:eastAsia="Times New Roman" w:hAnsi="Times New Roman" w:cs="Times New Roman"/>
                <w:sz w:val="20"/>
                <w:szCs w:val="20"/>
                <w:lang w:val="en-GB"/>
              </w:rPr>
              <w:t>2.edition</w:t>
            </w:r>
            <w:proofErr w:type="gramEnd"/>
            <w:r>
              <w:rPr>
                <w:rFonts w:ascii="Times New Roman" w:eastAsia="Times New Roman" w:hAnsi="Times New Roman" w:cs="Times New Roman"/>
                <w:sz w:val="20"/>
                <w:szCs w:val="20"/>
              </w:rPr>
              <w:t> </w:t>
            </w:r>
          </w:p>
          <w:p w14:paraId="4574B2BB"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Raporti I gjelbër (2016), Ministria e Bujqësisë, Pylltarisë dhe Zhvillimit Rural</w:t>
            </w:r>
            <w:r>
              <w:rPr>
                <w:rFonts w:ascii="Times New Roman" w:eastAsia="Times New Roman" w:hAnsi="Times New Roman" w:cs="Times New Roman"/>
                <w:sz w:val="20"/>
                <w:szCs w:val="20"/>
              </w:rPr>
              <w:t> </w:t>
            </w:r>
          </w:p>
          <w:p w14:paraId="28F98E7F"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Rajka Božanić et al. (2012) Analiza mleka I mlecnih proizvoda d.o.o., Zagreb</w:t>
            </w:r>
            <w:r>
              <w:rPr>
                <w:rFonts w:ascii="Times New Roman" w:eastAsia="Times New Roman" w:hAnsi="Times New Roman" w:cs="Times New Roman"/>
                <w:sz w:val="20"/>
                <w:szCs w:val="20"/>
              </w:rPr>
              <w:t> </w:t>
            </w:r>
          </w:p>
          <w:p w14:paraId="08DC5A75"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Velimir M. </w:t>
            </w:r>
            <w:proofErr w:type="gramStart"/>
            <w:r>
              <w:rPr>
                <w:rFonts w:ascii="Times New Roman" w:eastAsia="Times New Roman" w:hAnsi="Times New Roman" w:cs="Times New Roman"/>
                <w:sz w:val="20"/>
                <w:szCs w:val="20"/>
                <w:lang w:val="en-GB"/>
              </w:rPr>
              <w:t>Jovanović,,</w:t>
            </w:r>
            <w:proofErr w:type="gramEnd"/>
            <w:r>
              <w:rPr>
                <w:rFonts w:ascii="Times New Roman" w:eastAsia="Times New Roman" w:hAnsi="Times New Roman" w:cs="Times New Roman"/>
                <w:sz w:val="20"/>
                <w:szCs w:val="20"/>
                <w:lang w:val="en-GB"/>
              </w:rPr>
              <w:t>( 2008). Muza krava I postupak sa mlekom, Beograd</w:t>
            </w:r>
            <w:r>
              <w:rPr>
                <w:rFonts w:ascii="Times New Roman" w:eastAsia="Times New Roman" w:hAnsi="Times New Roman" w:cs="Times New Roman"/>
                <w:sz w:val="20"/>
                <w:szCs w:val="20"/>
              </w:rPr>
              <w:t> </w:t>
            </w:r>
          </w:p>
          <w:p w14:paraId="0886F673"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Prof. spec. Zlatan Glišić, Kairos</w:t>
            </w:r>
            <w:proofErr w:type="gramStart"/>
            <w:r>
              <w:rPr>
                <w:rFonts w:ascii="Times New Roman" w:eastAsia="Times New Roman" w:hAnsi="Times New Roman" w:cs="Times New Roman"/>
                <w:sz w:val="20"/>
                <w:szCs w:val="20"/>
                <w:lang w:val="en-GB"/>
              </w:rPr>
              <w:t>, ,</w:t>
            </w:r>
            <w:proofErr w:type="gramEnd"/>
            <w:r>
              <w:rPr>
                <w:rFonts w:ascii="Times New Roman" w:eastAsia="Times New Roman" w:hAnsi="Times New Roman" w:cs="Times New Roman"/>
                <w:sz w:val="20"/>
                <w:szCs w:val="20"/>
                <w:lang w:val="en-GB"/>
              </w:rPr>
              <w:t xml:space="preserve"> (2008), Prakticno govedarstvo, Sremski Karlovci</w:t>
            </w:r>
            <w:r>
              <w:rPr>
                <w:rFonts w:ascii="Times New Roman" w:eastAsia="Times New Roman" w:hAnsi="Times New Roman" w:cs="Times New Roman"/>
                <w:sz w:val="20"/>
                <w:szCs w:val="20"/>
              </w:rPr>
              <w:t> </w:t>
            </w:r>
          </w:p>
          <w:p w14:paraId="3CA9593E"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Petar Radetić, dr Vesna Matekalo-</w:t>
            </w:r>
            <w:proofErr w:type="gramStart"/>
            <w:r>
              <w:rPr>
                <w:rFonts w:ascii="Times New Roman" w:eastAsia="Times New Roman" w:hAnsi="Times New Roman" w:cs="Times New Roman"/>
                <w:sz w:val="20"/>
                <w:szCs w:val="20"/>
                <w:lang w:val="en-GB"/>
              </w:rPr>
              <w:t>Sverak,(</w:t>
            </w:r>
            <w:proofErr w:type="gramEnd"/>
            <w:r>
              <w:rPr>
                <w:rFonts w:ascii="Times New Roman" w:eastAsia="Times New Roman" w:hAnsi="Times New Roman" w:cs="Times New Roman"/>
                <w:sz w:val="20"/>
                <w:szCs w:val="20"/>
                <w:lang w:val="en-GB"/>
              </w:rPr>
              <w:t>2010),  Meso, Beograd,</w:t>
            </w:r>
            <w:r>
              <w:rPr>
                <w:rFonts w:ascii="Times New Roman" w:eastAsia="Times New Roman" w:hAnsi="Times New Roman" w:cs="Times New Roman"/>
                <w:sz w:val="20"/>
                <w:szCs w:val="20"/>
              </w:rPr>
              <w:t> </w:t>
            </w:r>
          </w:p>
          <w:p w14:paraId="47D17398"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Prof.dr Ahmed </w:t>
            </w:r>
            <w:proofErr w:type="gramStart"/>
            <w:r>
              <w:rPr>
                <w:rFonts w:ascii="Times New Roman" w:eastAsia="Times New Roman" w:hAnsi="Times New Roman" w:cs="Times New Roman"/>
                <w:sz w:val="20"/>
                <w:szCs w:val="20"/>
                <w:lang w:val="en-GB"/>
              </w:rPr>
              <w:t>Smajić,(</w:t>
            </w:r>
            <w:proofErr w:type="gramEnd"/>
            <w:r>
              <w:rPr>
                <w:rFonts w:ascii="Times New Roman" w:eastAsia="Times New Roman" w:hAnsi="Times New Roman" w:cs="Times New Roman"/>
                <w:sz w:val="20"/>
                <w:szCs w:val="20"/>
                <w:lang w:val="en-GB"/>
              </w:rPr>
              <w:t>2014), Prerada mesa, Sarajevo,</w:t>
            </w:r>
            <w:r>
              <w:rPr>
                <w:rFonts w:ascii="Times New Roman" w:eastAsia="Times New Roman" w:hAnsi="Times New Roman" w:cs="Times New Roman"/>
                <w:sz w:val="20"/>
                <w:szCs w:val="20"/>
              </w:rPr>
              <w:t> </w:t>
            </w:r>
          </w:p>
          <w:p w14:paraId="494C606A"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Miroslav </w:t>
            </w:r>
            <w:proofErr w:type="gramStart"/>
            <w:r>
              <w:rPr>
                <w:rFonts w:ascii="Times New Roman" w:eastAsia="Times New Roman" w:hAnsi="Times New Roman" w:cs="Times New Roman"/>
                <w:sz w:val="20"/>
                <w:szCs w:val="20"/>
                <w:lang w:val="en-GB"/>
              </w:rPr>
              <w:t>Jůzl ,</w:t>
            </w:r>
            <w:proofErr w:type="gramEnd"/>
            <w:r>
              <w:rPr>
                <w:rFonts w:ascii="Times New Roman" w:eastAsia="Times New Roman" w:hAnsi="Times New Roman" w:cs="Times New Roman"/>
                <w:sz w:val="20"/>
                <w:szCs w:val="20"/>
                <w:lang w:val="en-GB"/>
              </w:rPr>
              <w:t xml:space="preserve"> Šárka Nedomová (2015): Quality of animal products, Brno  </w:t>
            </w:r>
            <w:r>
              <w:rPr>
                <w:rFonts w:ascii="Times New Roman" w:eastAsia="Times New Roman" w:hAnsi="Times New Roman" w:cs="Times New Roman"/>
                <w:sz w:val="20"/>
                <w:szCs w:val="20"/>
              </w:rPr>
              <w:t> </w:t>
            </w:r>
          </w:p>
          <w:p w14:paraId="121BA651"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Leo M. L. Nollet (2012):  Handbook of Meat, Poultry and Seafood Quality, Department of Engineering Sciences Hogeschool Gent, Ghent, Belgium</w:t>
            </w:r>
            <w:r>
              <w:rPr>
                <w:rFonts w:ascii="Times New Roman" w:eastAsia="Times New Roman" w:hAnsi="Times New Roman" w:cs="Times New Roman"/>
                <w:sz w:val="20"/>
                <w:szCs w:val="20"/>
              </w:rPr>
              <w:t> </w:t>
            </w:r>
          </w:p>
          <w:p w14:paraId="49C822CE"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Leo M.L. Nollet and Fidel </w:t>
            </w:r>
            <w:proofErr w:type="gramStart"/>
            <w:r>
              <w:rPr>
                <w:rFonts w:ascii="Times New Roman" w:eastAsia="Times New Roman" w:hAnsi="Times New Roman" w:cs="Times New Roman"/>
                <w:sz w:val="20"/>
                <w:szCs w:val="20"/>
                <w:lang w:val="en-GB"/>
              </w:rPr>
              <w:t>Toldrá  (</w:t>
            </w:r>
            <w:proofErr w:type="gramEnd"/>
            <w:r>
              <w:rPr>
                <w:rFonts w:ascii="Times New Roman" w:eastAsia="Times New Roman" w:hAnsi="Times New Roman" w:cs="Times New Roman"/>
                <w:sz w:val="20"/>
                <w:szCs w:val="20"/>
                <w:lang w:val="en-GB"/>
              </w:rPr>
              <w:t xml:space="preserve"> 2011) : Safety analysis of foods of animal origin </w:t>
            </w:r>
            <w:r>
              <w:rPr>
                <w:rFonts w:ascii="Times New Roman" w:eastAsia="Times New Roman" w:hAnsi="Times New Roman" w:cs="Times New Roman"/>
                <w:sz w:val="20"/>
                <w:szCs w:val="20"/>
              </w:rPr>
              <w:t> </w:t>
            </w:r>
          </w:p>
          <w:p w14:paraId="1DEC0737"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James R. Gillespie, Frank </w:t>
            </w:r>
            <w:proofErr w:type="gramStart"/>
            <w:r>
              <w:rPr>
                <w:rFonts w:ascii="Times New Roman" w:eastAsia="Times New Roman" w:hAnsi="Times New Roman" w:cs="Times New Roman"/>
                <w:sz w:val="20"/>
                <w:szCs w:val="20"/>
                <w:lang w:val="en-GB"/>
              </w:rPr>
              <w:t>Flanders  (</w:t>
            </w:r>
            <w:proofErr w:type="gramEnd"/>
            <w:r>
              <w:rPr>
                <w:rFonts w:ascii="Times New Roman" w:eastAsia="Times New Roman" w:hAnsi="Times New Roman" w:cs="Times New Roman"/>
                <w:sz w:val="20"/>
                <w:szCs w:val="20"/>
                <w:lang w:val="en-GB"/>
              </w:rPr>
              <w:t>2009): Modern Livestock and Poultry Production </w:t>
            </w:r>
            <w:r>
              <w:rPr>
                <w:rFonts w:ascii="Times New Roman" w:eastAsia="Times New Roman" w:hAnsi="Times New Roman" w:cs="Times New Roman"/>
                <w:sz w:val="20"/>
                <w:szCs w:val="20"/>
              </w:rPr>
              <w:t> </w:t>
            </w:r>
          </w:p>
          <w:p w14:paraId="02DD7C4F"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Colin </w:t>
            </w:r>
            <w:proofErr w:type="gramStart"/>
            <w:r>
              <w:rPr>
                <w:rFonts w:ascii="Times New Roman" w:eastAsia="Times New Roman" w:hAnsi="Times New Roman" w:cs="Times New Roman"/>
                <w:sz w:val="20"/>
                <w:szCs w:val="20"/>
                <w:lang w:val="en-GB"/>
              </w:rPr>
              <w:t>Scanes ,</w:t>
            </w:r>
            <w:proofErr w:type="gramEnd"/>
            <w:r>
              <w:rPr>
                <w:rFonts w:ascii="Times New Roman" w:eastAsia="Times New Roman" w:hAnsi="Times New Roman" w:cs="Times New Roman"/>
                <w:sz w:val="20"/>
                <w:szCs w:val="20"/>
                <w:lang w:val="en-GB"/>
              </w:rPr>
              <w:t xml:space="preserve"> (2010): Fundamentals of Animal Science</w:t>
            </w:r>
            <w:r>
              <w:rPr>
                <w:rFonts w:ascii="Times New Roman" w:eastAsia="Times New Roman" w:hAnsi="Times New Roman" w:cs="Times New Roman"/>
                <w:sz w:val="20"/>
                <w:szCs w:val="20"/>
              </w:rPr>
              <w:t> </w:t>
            </w:r>
          </w:p>
          <w:p w14:paraId="05F6A670"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Meat, Poultry and Fish Technology- Jhari Sahoo, Manish Kumar Chatli, New Delhi 2016 </w:t>
            </w:r>
            <w:r>
              <w:rPr>
                <w:rFonts w:ascii="Times New Roman" w:eastAsia="Times New Roman" w:hAnsi="Times New Roman" w:cs="Times New Roman"/>
                <w:sz w:val="20"/>
                <w:szCs w:val="20"/>
              </w:rPr>
              <w:t> </w:t>
            </w:r>
          </w:p>
          <w:p w14:paraId="625BD1F5"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Blackie Academi c and Professional (Hall, </w:t>
            </w:r>
            <w:proofErr w:type="gramStart"/>
            <w:r>
              <w:rPr>
                <w:rFonts w:ascii="Times New Roman" w:eastAsia="Times New Roman" w:hAnsi="Times New Roman" w:cs="Times New Roman"/>
                <w:sz w:val="20"/>
                <w:szCs w:val="20"/>
                <w:lang w:val="en-GB"/>
              </w:rPr>
              <w:t>G.M..</w:t>
            </w:r>
            <w:proofErr w:type="gramEnd"/>
            <w:r>
              <w:rPr>
                <w:rFonts w:ascii="Times New Roman" w:eastAsia="Times New Roman" w:hAnsi="Times New Roman" w:cs="Times New Roman"/>
                <w:sz w:val="20"/>
                <w:szCs w:val="20"/>
                <w:lang w:val="en-GB"/>
              </w:rPr>
              <w:t>) (1992</w:t>
            </w:r>
            <w:proofErr w:type="gramStart"/>
            <w:r>
              <w:rPr>
                <w:rFonts w:ascii="Times New Roman" w:eastAsia="Times New Roman" w:hAnsi="Times New Roman" w:cs="Times New Roman"/>
                <w:sz w:val="20"/>
                <w:szCs w:val="20"/>
                <w:lang w:val="en-GB"/>
              </w:rPr>
              <w:t>) ;Fish</w:t>
            </w:r>
            <w:proofErr w:type="gramEnd"/>
            <w:r>
              <w:rPr>
                <w:rFonts w:ascii="Times New Roman" w:eastAsia="Times New Roman" w:hAnsi="Times New Roman" w:cs="Times New Roman"/>
                <w:sz w:val="20"/>
                <w:szCs w:val="20"/>
                <w:lang w:val="en-GB"/>
              </w:rPr>
              <w:t xml:space="preserve"> processing technology,  </w:t>
            </w:r>
            <w:r>
              <w:rPr>
                <w:rFonts w:ascii="Times New Roman" w:eastAsia="Times New Roman" w:hAnsi="Times New Roman" w:cs="Times New Roman"/>
                <w:sz w:val="20"/>
                <w:szCs w:val="20"/>
              </w:rPr>
              <w:t> </w:t>
            </w:r>
          </w:p>
          <w:p w14:paraId="77928878"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Jianping </w:t>
            </w:r>
            <w:proofErr w:type="gramStart"/>
            <w:r>
              <w:rPr>
                <w:rFonts w:ascii="Times New Roman" w:eastAsia="Times New Roman" w:hAnsi="Times New Roman" w:cs="Times New Roman"/>
                <w:sz w:val="20"/>
                <w:szCs w:val="20"/>
                <w:lang w:val="en-GB"/>
              </w:rPr>
              <w:t>Wu ,</w:t>
            </w:r>
            <w:proofErr w:type="gramEnd"/>
            <w:r>
              <w:rPr>
                <w:rFonts w:ascii="Times New Roman" w:eastAsia="Times New Roman" w:hAnsi="Times New Roman" w:cs="Times New Roman"/>
                <w:sz w:val="20"/>
                <w:szCs w:val="20"/>
                <w:lang w:val="en-GB"/>
              </w:rPr>
              <w:t xml:space="preserve"> Eggs and Egg Products Processing -, Canada</w:t>
            </w:r>
            <w:r>
              <w:rPr>
                <w:rFonts w:ascii="Times New Roman" w:eastAsia="Times New Roman" w:hAnsi="Times New Roman" w:cs="Times New Roman"/>
                <w:sz w:val="20"/>
                <w:szCs w:val="20"/>
              </w:rPr>
              <w:t> </w:t>
            </w:r>
          </w:p>
          <w:p w14:paraId="4B8A6AC4" w14:textId="77777777" w:rsidR="00954500" w:rsidRDefault="00954500" w:rsidP="00E433D8">
            <w:pPr>
              <w:numPr>
                <w:ilvl w:val="0"/>
                <w:numId w:val="5"/>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Ettore Baglio (2018</w:t>
            </w:r>
            <w:proofErr w:type="gramStart"/>
            <w:r>
              <w:rPr>
                <w:rFonts w:ascii="Times New Roman" w:eastAsia="Times New Roman" w:hAnsi="Times New Roman" w:cs="Times New Roman"/>
                <w:sz w:val="20"/>
                <w:szCs w:val="20"/>
                <w:lang w:val="en-GB"/>
              </w:rPr>
              <w:t>)  Chemistry</w:t>
            </w:r>
            <w:proofErr w:type="gramEnd"/>
            <w:r>
              <w:rPr>
                <w:rFonts w:ascii="Times New Roman" w:eastAsia="Times New Roman" w:hAnsi="Times New Roman" w:cs="Times New Roman"/>
                <w:sz w:val="20"/>
                <w:szCs w:val="20"/>
                <w:lang w:val="en-GB"/>
              </w:rPr>
              <w:t xml:space="preserve"> and Technology of Honey Production </w:t>
            </w:r>
            <w:r>
              <w:rPr>
                <w:rFonts w:ascii="Times New Roman" w:eastAsia="Times New Roman" w:hAnsi="Times New Roman" w:cs="Times New Roman"/>
                <w:sz w:val="20"/>
                <w:szCs w:val="20"/>
              </w:rPr>
              <w:t> </w:t>
            </w:r>
          </w:p>
          <w:p w14:paraId="182EAEC2" w14:textId="77777777" w:rsidR="00954500" w:rsidRDefault="00954500">
            <w:pPr>
              <w:spacing w:after="0" w:line="240" w:lineRule="auto"/>
              <w:ind w:left="39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954500" w14:paraId="1CF25589" w14:textId="77777777" w:rsidTr="00954500">
        <w:trPr>
          <w:trHeight w:val="300"/>
        </w:trPr>
        <w:tc>
          <w:tcPr>
            <w:tcW w:w="2244" w:type="dxa"/>
            <w:tcBorders>
              <w:top w:val="single" w:sz="6" w:space="0" w:color="7F7F7F"/>
              <w:left w:val="single" w:sz="6" w:space="0" w:color="7F7F7F"/>
              <w:bottom w:val="single" w:sz="6" w:space="0" w:color="7F7F7F"/>
              <w:right w:val="nil"/>
            </w:tcBorders>
            <w:shd w:val="clear" w:color="auto" w:fill="D9E2F3"/>
            <w:vAlign w:val="center"/>
            <w:hideMark/>
          </w:tcPr>
          <w:p w14:paraId="71B5B170" w14:textId="77777777" w:rsidR="00954500" w:rsidRDefault="0095450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Contact</w:t>
            </w:r>
            <w:r>
              <w:rPr>
                <w:rFonts w:ascii="Times New Roman" w:eastAsia="Times New Roman" w:hAnsi="Times New Roman" w:cs="Times New Roman"/>
                <w:color w:val="000000"/>
                <w:sz w:val="20"/>
                <w:szCs w:val="20"/>
              </w:rPr>
              <w:t> </w:t>
            </w:r>
          </w:p>
        </w:tc>
        <w:tc>
          <w:tcPr>
            <w:tcW w:w="7378" w:type="dxa"/>
            <w:gridSpan w:val="4"/>
            <w:tcBorders>
              <w:top w:val="single" w:sz="6" w:space="0" w:color="7F7F7F"/>
              <w:left w:val="nil"/>
              <w:bottom w:val="single" w:sz="6" w:space="0" w:color="7F7F7F"/>
              <w:right w:val="single" w:sz="6" w:space="0" w:color="7F7F7F"/>
            </w:tcBorders>
            <w:vAlign w:val="center"/>
            <w:hideMark/>
          </w:tcPr>
          <w:p w14:paraId="6265198F"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5B927729" w14:textId="77777777" w:rsidR="00954500" w:rsidRDefault="00954500">
            <w:pPr>
              <w:spacing w:after="0" w:line="240" w:lineRule="auto"/>
              <w:jc w:val="center"/>
              <w:textAlignment w:val="baseline"/>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0"/>
                <w:szCs w:val="20"/>
                <w:lang w:val="en-GB"/>
              </w:rPr>
              <w:t>xhavit.bytyci</w:t>
            </w:r>
            <w:proofErr w:type="gramEnd"/>
            <w:hyperlink r:id="rId5" w:tgtFrame="_blank" w:history="1">
              <w:r>
                <w:rPr>
                  <w:rStyle w:val="Hyperlink"/>
                  <w:rFonts w:ascii="Times New Roman" w:eastAsia="Times New Roman" w:hAnsi="Times New Roman" w:cs="Times New Roman"/>
                  <w:b/>
                  <w:bCs/>
                  <w:color w:val="auto"/>
                  <w:sz w:val="20"/>
                  <w:szCs w:val="20"/>
                  <w:lang w:val="en-GB"/>
                </w:rPr>
                <w:t>@ubt-uni.net</w:t>
              </w:r>
            </w:hyperlink>
            <w:r>
              <w:rPr>
                <w:rFonts w:ascii="Times New Roman" w:eastAsia="Times New Roman" w:hAnsi="Times New Roman" w:cs="Times New Roman"/>
                <w:b/>
                <w:bCs/>
                <w:sz w:val="20"/>
                <w:szCs w:val="20"/>
                <w:u w:val="single"/>
                <w:lang w:val="en-GB"/>
              </w:rPr>
              <w:t xml:space="preserve"> ; </w:t>
            </w:r>
          </w:p>
        </w:tc>
      </w:tr>
    </w:tbl>
    <w:p w14:paraId="53D0DE2B"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8C2D5D"/>
    <w:multiLevelType w:val="multilevel"/>
    <w:tmpl w:val="04E06D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2961DF"/>
    <w:multiLevelType w:val="multilevel"/>
    <w:tmpl w:val="0470A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0F1C16"/>
    <w:multiLevelType w:val="multilevel"/>
    <w:tmpl w:val="4926BF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65B6347"/>
    <w:multiLevelType w:val="multilevel"/>
    <w:tmpl w:val="E7A40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F2C00F6"/>
    <w:multiLevelType w:val="multilevel"/>
    <w:tmpl w:val="FE6C12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955969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20770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147680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516469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206682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1A"/>
    <w:rsid w:val="002F71EA"/>
    <w:rsid w:val="00954500"/>
    <w:rsid w:val="00E7761A"/>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11056-8BC3-4E2C-A3A6-76FA4A1B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500"/>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2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gim.mestan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8459</Characters>
  <Application>Microsoft Office Word</Application>
  <DocSecurity>0</DocSecurity>
  <Lines>70</Lines>
  <Paragraphs>19</Paragraphs>
  <ScaleCrop>false</ScaleCrop>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2024-03-28T14:04:00Z</dcterms:created>
  <dcterms:modified xsi:type="dcterms:W3CDTF">2024-03-28T14:04:00Z</dcterms:modified>
</cp:coreProperties>
</file>