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4"/>
        <w:gridCol w:w="2398"/>
        <w:gridCol w:w="1740"/>
        <w:gridCol w:w="2054"/>
        <w:gridCol w:w="1738"/>
      </w:tblGrid>
      <w:tr w:rsidR="00326E7C" w14:paraId="31CD4EDF" w14:textId="77777777" w:rsidTr="00326E7C">
        <w:trPr>
          <w:trHeight w:val="300"/>
        </w:trPr>
        <w:tc>
          <w:tcPr>
            <w:tcW w:w="1414" w:type="dxa"/>
            <w:vMerge w:val="restart"/>
            <w:tcBorders>
              <w:top w:val="single" w:sz="6" w:space="0" w:color="7F7F7F"/>
              <w:left w:val="single" w:sz="6" w:space="0" w:color="auto"/>
              <w:bottom w:val="single" w:sz="6" w:space="0" w:color="7F7F7F"/>
              <w:right w:val="single" w:sz="6" w:space="0" w:color="auto"/>
            </w:tcBorders>
            <w:shd w:val="clear" w:color="auto" w:fill="D9E2F3"/>
            <w:vAlign w:val="center"/>
            <w:hideMark/>
          </w:tcPr>
          <w:p w14:paraId="4250262C"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Subject</w:t>
            </w:r>
            <w:r>
              <w:rPr>
                <w:rFonts w:ascii="Times New Roman" w:eastAsia="Times New Roman" w:hAnsi="Times New Roman" w:cs="Times New Roman"/>
                <w:sz w:val="20"/>
                <w:szCs w:val="20"/>
              </w:rPr>
              <w:t> </w:t>
            </w:r>
          </w:p>
        </w:tc>
        <w:tc>
          <w:tcPr>
            <w:tcW w:w="7930" w:type="dxa"/>
            <w:gridSpan w:val="4"/>
            <w:tcBorders>
              <w:top w:val="single" w:sz="6" w:space="0" w:color="auto"/>
              <w:left w:val="single" w:sz="6" w:space="0" w:color="auto"/>
              <w:bottom w:val="single" w:sz="6" w:space="0" w:color="auto"/>
              <w:right w:val="single" w:sz="6" w:space="0" w:color="auto"/>
            </w:tcBorders>
            <w:vAlign w:val="center"/>
            <w:hideMark/>
          </w:tcPr>
          <w:p w14:paraId="17D55016"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D6E1742"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NUTRITIONAL ASPECTS OF FOOD PREPARATION</w:t>
            </w:r>
            <w:r>
              <w:rPr>
                <w:rFonts w:ascii="Times New Roman" w:eastAsia="Times New Roman" w:hAnsi="Times New Roman" w:cs="Times New Roman"/>
                <w:sz w:val="20"/>
                <w:szCs w:val="20"/>
              </w:rPr>
              <w:t> </w:t>
            </w:r>
          </w:p>
          <w:p w14:paraId="337F32D1"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326E7C" w14:paraId="61F17A1F" w14:textId="77777777" w:rsidTr="00326E7C">
        <w:trPr>
          <w:trHeight w:val="285"/>
        </w:trPr>
        <w:tc>
          <w:tcPr>
            <w:tcW w:w="0" w:type="auto"/>
            <w:vMerge/>
            <w:tcBorders>
              <w:top w:val="single" w:sz="6" w:space="0" w:color="7F7F7F"/>
              <w:left w:val="single" w:sz="6" w:space="0" w:color="auto"/>
              <w:bottom w:val="single" w:sz="6" w:space="0" w:color="7F7F7F"/>
              <w:right w:val="single" w:sz="6" w:space="0" w:color="auto"/>
            </w:tcBorders>
            <w:vAlign w:val="center"/>
            <w:hideMark/>
          </w:tcPr>
          <w:p w14:paraId="2C579DC6" w14:textId="77777777" w:rsidR="00326E7C" w:rsidRDefault="00326E7C">
            <w:pPr>
              <w:spacing w:after="0"/>
              <w:rPr>
                <w:rFonts w:ascii="Times New Roman" w:eastAsia="Times New Roman" w:hAnsi="Times New Roman" w:cs="Times New Roman"/>
                <w:sz w:val="20"/>
                <w:szCs w:val="20"/>
              </w:rPr>
            </w:pPr>
          </w:p>
        </w:tc>
        <w:tc>
          <w:tcPr>
            <w:tcW w:w="239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84C89D3"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Lloji</w:t>
            </w:r>
            <w:r>
              <w:rPr>
                <w:rFonts w:ascii="Times New Roman" w:eastAsia="Times New Roman" w:hAnsi="Times New Roman" w:cs="Times New Roman"/>
                <w:sz w:val="20"/>
                <w:szCs w:val="20"/>
              </w:rPr>
              <w:t> </w:t>
            </w:r>
          </w:p>
        </w:tc>
        <w:tc>
          <w:tcPr>
            <w:tcW w:w="174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B5035C5"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Semester</w:t>
            </w:r>
            <w:r>
              <w:rPr>
                <w:rFonts w:ascii="Times New Roman" w:eastAsia="Times New Roman" w:hAnsi="Times New Roman" w:cs="Times New Roman"/>
                <w:sz w:val="20"/>
                <w:szCs w:val="20"/>
              </w:rPr>
              <w:t> </w:t>
            </w:r>
          </w:p>
        </w:tc>
        <w:tc>
          <w:tcPr>
            <w:tcW w:w="205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F2BC9C3"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ECTS</w:t>
            </w:r>
            <w:r>
              <w:rPr>
                <w:rFonts w:ascii="Times New Roman" w:eastAsia="Times New Roman" w:hAnsi="Times New Roman" w:cs="Times New Roman"/>
                <w:sz w:val="20"/>
                <w:szCs w:val="20"/>
              </w:rPr>
              <w:t> </w:t>
            </w:r>
          </w:p>
        </w:tc>
        <w:tc>
          <w:tcPr>
            <w:tcW w:w="173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DE84024"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Code</w:t>
            </w:r>
            <w:r>
              <w:rPr>
                <w:rFonts w:ascii="Times New Roman" w:eastAsia="Times New Roman" w:hAnsi="Times New Roman" w:cs="Times New Roman"/>
                <w:sz w:val="20"/>
                <w:szCs w:val="20"/>
              </w:rPr>
              <w:t> </w:t>
            </w:r>
          </w:p>
        </w:tc>
      </w:tr>
      <w:tr w:rsidR="00326E7C" w14:paraId="3D84A059" w14:textId="77777777" w:rsidTr="00326E7C">
        <w:trPr>
          <w:trHeight w:val="285"/>
        </w:trPr>
        <w:tc>
          <w:tcPr>
            <w:tcW w:w="0" w:type="auto"/>
            <w:vMerge/>
            <w:tcBorders>
              <w:top w:val="single" w:sz="6" w:space="0" w:color="7F7F7F"/>
              <w:left w:val="single" w:sz="6" w:space="0" w:color="auto"/>
              <w:bottom w:val="single" w:sz="6" w:space="0" w:color="7F7F7F"/>
              <w:right w:val="single" w:sz="6" w:space="0" w:color="auto"/>
            </w:tcBorders>
            <w:vAlign w:val="center"/>
            <w:hideMark/>
          </w:tcPr>
          <w:p w14:paraId="07E6D753" w14:textId="77777777" w:rsidR="00326E7C" w:rsidRDefault="00326E7C">
            <w:pPr>
              <w:spacing w:after="0"/>
              <w:rPr>
                <w:rFonts w:ascii="Times New Roman" w:eastAsia="Times New Roman" w:hAnsi="Times New Roman" w:cs="Times New Roman"/>
                <w:sz w:val="20"/>
                <w:szCs w:val="20"/>
              </w:rPr>
            </w:pPr>
          </w:p>
        </w:tc>
        <w:tc>
          <w:tcPr>
            <w:tcW w:w="2398" w:type="dxa"/>
            <w:tcBorders>
              <w:top w:val="single" w:sz="6" w:space="0" w:color="auto"/>
              <w:left w:val="single" w:sz="6" w:space="0" w:color="auto"/>
              <w:bottom w:val="single" w:sz="6" w:space="0" w:color="auto"/>
              <w:right w:val="single" w:sz="6" w:space="0" w:color="auto"/>
            </w:tcBorders>
            <w:vAlign w:val="center"/>
            <w:hideMark/>
          </w:tcPr>
          <w:p w14:paraId="3DDF3962"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Obligatory (O)</w:t>
            </w:r>
            <w:r>
              <w:rPr>
                <w:rFonts w:ascii="Times New Roman" w:eastAsia="Times New Roman" w:hAnsi="Times New Roman" w:cs="Times New Roman"/>
                <w:sz w:val="20"/>
                <w:szCs w:val="20"/>
              </w:rPr>
              <w:t> </w:t>
            </w:r>
          </w:p>
          <w:p w14:paraId="37A94137"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740" w:type="dxa"/>
            <w:tcBorders>
              <w:top w:val="single" w:sz="6" w:space="0" w:color="auto"/>
              <w:left w:val="single" w:sz="6" w:space="0" w:color="auto"/>
              <w:bottom w:val="single" w:sz="6" w:space="0" w:color="auto"/>
              <w:right w:val="single" w:sz="6" w:space="0" w:color="auto"/>
            </w:tcBorders>
            <w:vAlign w:val="center"/>
            <w:hideMark/>
          </w:tcPr>
          <w:p w14:paraId="7337A1EF"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V</w:t>
            </w:r>
          </w:p>
        </w:tc>
        <w:tc>
          <w:tcPr>
            <w:tcW w:w="2054" w:type="dxa"/>
            <w:tcBorders>
              <w:top w:val="single" w:sz="6" w:space="0" w:color="auto"/>
              <w:left w:val="single" w:sz="6" w:space="0" w:color="auto"/>
              <w:bottom w:val="single" w:sz="6" w:space="0" w:color="auto"/>
              <w:right w:val="single" w:sz="6" w:space="0" w:color="auto"/>
            </w:tcBorders>
            <w:vAlign w:val="center"/>
            <w:hideMark/>
          </w:tcPr>
          <w:p w14:paraId="384C4E8D"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4</w:t>
            </w:r>
            <w:r>
              <w:rPr>
                <w:rFonts w:ascii="Times New Roman" w:eastAsia="Times New Roman" w:hAnsi="Times New Roman" w:cs="Times New Roman"/>
                <w:sz w:val="20"/>
                <w:szCs w:val="20"/>
              </w:rPr>
              <w:t> </w:t>
            </w:r>
          </w:p>
        </w:tc>
        <w:tc>
          <w:tcPr>
            <w:tcW w:w="1738" w:type="dxa"/>
            <w:tcBorders>
              <w:top w:val="single" w:sz="6" w:space="0" w:color="auto"/>
              <w:left w:val="single" w:sz="6" w:space="0" w:color="auto"/>
              <w:bottom w:val="single" w:sz="6" w:space="0" w:color="auto"/>
              <w:right w:val="single" w:sz="6" w:space="0" w:color="auto"/>
            </w:tcBorders>
            <w:vAlign w:val="center"/>
            <w:hideMark/>
          </w:tcPr>
          <w:p w14:paraId="626E5375"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326E7C" w14:paraId="5D1CD891" w14:textId="77777777" w:rsidTr="00326E7C">
        <w:trPr>
          <w:trHeight w:val="420"/>
        </w:trPr>
        <w:tc>
          <w:tcPr>
            <w:tcW w:w="1414" w:type="dxa"/>
            <w:tcBorders>
              <w:top w:val="single" w:sz="6" w:space="0" w:color="7F7F7F"/>
              <w:left w:val="single" w:sz="6" w:space="0" w:color="auto"/>
              <w:bottom w:val="nil"/>
              <w:right w:val="single" w:sz="6" w:space="0" w:color="auto"/>
            </w:tcBorders>
            <w:shd w:val="clear" w:color="auto" w:fill="D9E2F3"/>
            <w:vAlign w:val="center"/>
            <w:hideMark/>
          </w:tcPr>
          <w:p w14:paraId="24083EF1"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The lecturer of the subject</w:t>
            </w:r>
            <w:r>
              <w:rPr>
                <w:rFonts w:ascii="Times New Roman" w:eastAsia="Times New Roman" w:hAnsi="Times New Roman" w:cs="Times New Roman"/>
                <w:sz w:val="20"/>
                <w:szCs w:val="20"/>
              </w:rPr>
              <w:t> </w:t>
            </w:r>
          </w:p>
        </w:tc>
        <w:tc>
          <w:tcPr>
            <w:tcW w:w="7930" w:type="dxa"/>
            <w:gridSpan w:val="4"/>
            <w:tcBorders>
              <w:top w:val="single" w:sz="6" w:space="0" w:color="auto"/>
              <w:left w:val="single" w:sz="6" w:space="0" w:color="auto"/>
              <w:bottom w:val="nil"/>
              <w:right w:val="single" w:sz="6" w:space="0" w:color="7F7F7F"/>
            </w:tcBorders>
            <w:vAlign w:val="center"/>
            <w:hideMark/>
          </w:tcPr>
          <w:p w14:paraId="6B635766"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Prof.Asst.Dr.Laura Binxhija Qeska</w:t>
            </w:r>
            <w:r>
              <w:rPr>
                <w:rFonts w:ascii="Times New Roman" w:eastAsia="Times New Roman" w:hAnsi="Times New Roman" w:cs="Times New Roman"/>
                <w:sz w:val="20"/>
                <w:szCs w:val="20"/>
              </w:rPr>
              <w:t> </w:t>
            </w:r>
          </w:p>
        </w:tc>
      </w:tr>
      <w:tr w:rsidR="00326E7C" w14:paraId="603CCB26" w14:textId="77777777" w:rsidTr="00326E7C">
        <w:trPr>
          <w:trHeight w:val="525"/>
        </w:trPr>
        <w:tc>
          <w:tcPr>
            <w:tcW w:w="1414" w:type="dxa"/>
            <w:tcBorders>
              <w:top w:val="nil"/>
              <w:left w:val="single" w:sz="6" w:space="0" w:color="auto"/>
              <w:bottom w:val="nil"/>
              <w:right w:val="single" w:sz="6" w:space="0" w:color="auto"/>
            </w:tcBorders>
            <w:shd w:val="clear" w:color="auto" w:fill="D9E2F3"/>
            <w:vAlign w:val="center"/>
            <w:hideMark/>
          </w:tcPr>
          <w:p w14:paraId="36AD1DE6"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Subject assistant</w:t>
            </w:r>
            <w:r>
              <w:rPr>
                <w:rFonts w:ascii="Times New Roman" w:eastAsia="Times New Roman" w:hAnsi="Times New Roman" w:cs="Times New Roman"/>
                <w:sz w:val="20"/>
                <w:szCs w:val="20"/>
              </w:rPr>
              <w:t> </w:t>
            </w:r>
          </w:p>
        </w:tc>
        <w:tc>
          <w:tcPr>
            <w:tcW w:w="7930" w:type="dxa"/>
            <w:gridSpan w:val="4"/>
            <w:tcBorders>
              <w:top w:val="nil"/>
              <w:left w:val="single" w:sz="6" w:space="0" w:color="auto"/>
              <w:bottom w:val="nil"/>
              <w:right w:val="single" w:sz="6" w:space="0" w:color="7F7F7F"/>
            </w:tcBorders>
            <w:vAlign w:val="center"/>
            <w:hideMark/>
          </w:tcPr>
          <w:p w14:paraId="2A60D79F"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sq-AL"/>
              </w:rPr>
              <w:t>/</w:t>
            </w:r>
            <w:r>
              <w:rPr>
                <w:rFonts w:ascii="Times New Roman" w:eastAsia="Times New Roman" w:hAnsi="Times New Roman" w:cs="Times New Roman"/>
                <w:color w:val="404040"/>
                <w:sz w:val="20"/>
                <w:szCs w:val="20"/>
              </w:rPr>
              <w:t> </w:t>
            </w:r>
          </w:p>
        </w:tc>
      </w:tr>
      <w:tr w:rsidR="00326E7C" w14:paraId="33261D81" w14:textId="77777777" w:rsidTr="00326E7C">
        <w:trPr>
          <w:trHeight w:val="300"/>
        </w:trPr>
        <w:tc>
          <w:tcPr>
            <w:tcW w:w="1414" w:type="dxa"/>
            <w:tcBorders>
              <w:top w:val="single" w:sz="6" w:space="0" w:color="7F7F7F"/>
              <w:left w:val="single" w:sz="6" w:space="0" w:color="auto"/>
              <w:bottom w:val="single" w:sz="6" w:space="0" w:color="7F7F7F"/>
              <w:right w:val="single" w:sz="6" w:space="0" w:color="auto"/>
            </w:tcBorders>
            <w:shd w:val="clear" w:color="auto" w:fill="D9E2F3"/>
            <w:vAlign w:val="center"/>
            <w:hideMark/>
          </w:tcPr>
          <w:p w14:paraId="174A4939"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Goals and Objectives</w:t>
            </w:r>
            <w:r>
              <w:rPr>
                <w:rFonts w:ascii="Times New Roman" w:eastAsia="Times New Roman" w:hAnsi="Times New Roman" w:cs="Times New Roman"/>
                <w:sz w:val="20"/>
                <w:szCs w:val="20"/>
              </w:rPr>
              <w:t> </w:t>
            </w:r>
          </w:p>
        </w:tc>
        <w:tc>
          <w:tcPr>
            <w:tcW w:w="7930" w:type="dxa"/>
            <w:gridSpan w:val="4"/>
            <w:tcBorders>
              <w:top w:val="single" w:sz="6" w:space="0" w:color="7F7F7F"/>
              <w:left w:val="single" w:sz="6" w:space="0" w:color="auto"/>
              <w:bottom w:val="single" w:sz="6" w:space="0" w:color="7F7F7F"/>
              <w:right w:val="single" w:sz="6" w:space="0" w:color="7F7F7F"/>
            </w:tcBorders>
            <w:hideMark/>
          </w:tcPr>
          <w:p w14:paraId="17E7D013"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The objective of the course is to provide students with a fundamental understanding of food preparation procedures (mechanical, thermal and cooling), and how each process affects the nutritional value and taste of food. The course will teach the student the quantitative elements of the harmful effects of some contaminants that can be found in food, such as additives, natural toxins, environmental pollutants or toxicants resulting from food preparation techniques. Food preparation systems, the separation and planning of different food preparation systems and central food preparation facilities, including the organization of space, equipment, food preparation and distribution processes, are areas of special knowledge. The process of handling food items during transit, storage and preparation.</w:t>
            </w:r>
            <w:r>
              <w:rPr>
                <w:rFonts w:ascii="Times New Roman" w:eastAsia="Times New Roman" w:hAnsi="Times New Roman" w:cs="Times New Roman"/>
                <w:sz w:val="20"/>
                <w:szCs w:val="20"/>
              </w:rPr>
              <w:t> </w:t>
            </w:r>
          </w:p>
        </w:tc>
      </w:tr>
      <w:tr w:rsidR="00326E7C" w14:paraId="7FAC1372" w14:textId="77777777" w:rsidTr="00326E7C">
        <w:trPr>
          <w:trHeight w:val="2580"/>
        </w:trPr>
        <w:tc>
          <w:tcPr>
            <w:tcW w:w="1414" w:type="dxa"/>
            <w:tcBorders>
              <w:top w:val="single" w:sz="6" w:space="0" w:color="7F7F7F"/>
              <w:left w:val="single" w:sz="6" w:space="0" w:color="auto"/>
              <w:bottom w:val="single" w:sz="6" w:space="0" w:color="7F7F7F"/>
              <w:right w:val="single" w:sz="6" w:space="0" w:color="auto"/>
            </w:tcBorders>
            <w:shd w:val="clear" w:color="auto" w:fill="D9E2F3"/>
            <w:vAlign w:val="center"/>
            <w:hideMark/>
          </w:tcPr>
          <w:p w14:paraId="5846A4F8"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Expected results</w:t>
            </w:r>
            <w:r>
              <w:rPr>
                <w:rFonts w:ascii="Times New Roman" w:eastAsia="Times New Roman" w:hAnsi="Times New Roman" w:cs="Times New Roman"/>
                <w:sz w:val="20"/>
                <w:szCs w:val="20"/>
              </w:rPr>
              <w:t> </w:t>
            </w:r>
          </w:p>
        </w:tc>
        <w:tc>
          <w:tcPr>
            <w:tcW w:w="7930" w:type="dxa"/>
            <w:gridSpan w:val="4"/>
            <w:tcBorders>
              <w:top w:val="single" w:sz="6" w:space="0" w:color="7F7F7F"/>
              <w:left w:val="single" w:sz="6" w:space="0" w:color="auto"/>
              <w:bottom w:val="single" w:sz="6" w:space="0" w:color="auto"/>
              <w:right w:val="single" w:sz="6" w:space="0" w:color="7F7F7F"/>
            </w:tcBorders>
            <w:hideMark/>
          </w:tcPr>
          <w:p w14:paraId="2933A665"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l-SI"/>
              </w:rPr>
              <w:t>After successfully mastering this subject, students will be able to:</w:t>
            </w:r>
            <w:r>
              <w:rPr>
                <w:rFonts w:ascii="Times New Roman" w:eastAsia="Times New Roman" w:hAnsi="Times New Roman" w:cs="Times New Roman"/>
                <w:sz w:val="20"/>
                <w:szCs w:val="20"/>
              </w:rPr>
              <w:t> </w:t>
            </w:r>
          </w:p>
          <w:p w14:paraId="3D834489"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FE91F6C" w14:textId="77777777" w:rsidR="00326E7C" w:rsidRDefault="00326E7C" w:rsidP="00863895">
            <w:pPr>
              <w:numPr>
                <w:ilvl w:val="0"/>
                <w:numId w:val="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l-SI"/>
              </w:rPr>
              <w:t>Explain the positive and negative changes that occur during food preparation.</w:t>
            </w:r>
            <w:r>
              <w:rPr>
                <w:rFonts w:ascii="Times New Roman" w:eastAsia="Times New Roman" w:hAnsi="Times New Roman" w:cs="Times New Roman"/>
                <w:sz w:val="20"/>
                <w:szCs w:val="20"/>
              </w:rPr>
              <w:t> </w:t>
            </w:r>
          </w:p>
          <w:p w14:paraId="5D676267" w14:textId="77777777" w:rsidR="00326E7C" w:rsidRDefault="00326E7C" w:rsidP="00863895">
            <w:pPr>
              <w:numPr>
                <w:ilvl w:val="0"/>
                <w:numId w:val="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l-SI"/>
              </w:rPr>
              <w:t>To compare procedures for preventing the formation of harmful by-products and the loss of desirable food components.</w:t>
            </w:r>
            <w:r>
              <w:rPr>
                <w:rFonts w:ascii="Times New Roman" w:eastAsia="Times New Roman" w:hAnsi="Times New Roman" w:cs="Times New Roman"/>
                <w:sz w:val="20"/>
                <w:szCs w:val="20"/>
              </w:rPr>
              <w:t> </w:t>
            </w:r>
          </w:p>
          <w:p w14:paraId="6236E01C" w14:textId="77777777" w:rsidR="00326E7C" w:rsidRDefault="00326E7C" w:rsidP="00863895">
            <w:pPr>
              <w:numPr>
                <w:ilvl w:val="0"/>
                <w:numId w:val="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They will be able to recognize the functional ingredients of foods on the market and analyze the individual functional ingredients in food. </w:t>
            </w:r>
            <w:r>
              <w:rPr>
                <w:rFonts w:ascii="Times New Roman" w:eastAsia="Times New Roman" w:hAnsi="Times New Roman" w:cs="Times New Roman"/>
                <w:sz w:val="20"/>
                <w:szCs w:val="20"/>
              </w:rPr>
              <w:t> </w:t>
            </w:r>
          </w:p>
          <w:p w14:paraId="6E407214" w14:textId="77777777" w:rsidR="00326E7C" w:rsidRDefault="00326E7C" w:rsidP="00863895">
            <w:pPr>
              <w:numPr>
                <w:ilvl w:val="0"/>
                <w:numId w:val="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They will also be able to propose procedures that can reduce the content of some contaminants in food in order to improve the quality of food preparation. </w:t>
            </w:r>
            <w:r>
              <w:rPr>
                <w:rFonts w:ascii="Times New Roman" w:eastAsia="Times New Roman" w:hAnsi="Times New Roman" w:cs="Times New Roman"/>
                <w:sz w:val="20"/>
                <w:szCs w:val="20"/>
              </w:rPr>
              <w:t> </w:t>
            </w:r>
          </w:p>
          <w:p w14:paraId="39655649" w14:textId="77777777" w:rsidR="00326E7C" w:rsidRDefault="00326E7C" w:rsidP="00863895">
            <w:pPr>
              <w:numPr>
                <w:ilvl w:val="0"/>
                <w:numId w:val="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They will be able to use the knowledge gained in the preparation of food preparation proposals to remove undesirable components present in food.</w:t>
            </w:r>
            <w:r>
              <w:rPr>
                <w:rFonts w:ascii="Times New Roman" w:eastAsia="Times New Roman" w:hAnsi="Times New Roman" w:cs="Times New Roman"/>
                <w:sz w:val="20"/>
                <w:szCs w:val="20"/>
              </w:rPr>
              <w:t> </w:t>
            </w:r>
          </w:p>
        </w:tc>
      </w:tr>
      <w:tr w:rsidR="00326E7C" w14:paraId="57096326" w14:textId="77777777" w:rsidTr="00326E7C">
        <w:trPr>
          <w:trHeight w:val="285"/>
        </w:trPr>
        <w:tc>
          <w:tcPr>
            <w:tcW w:w="1414" w:type="dxa"/>
            <w:vMerge w:val="restart"/>
            <w:tcBorders>
              <w:top w:val="single" w:sz="6" w:space="0" w:color="7F7F7F"/>
              <w:left w:val="single" w:sz="6" w:space="0" w:color="auto"/>
              <w:bottom w:val="nil"/>
              <w:right w:val="single" w:sz="6" w:space="0" w:color="auto"/>
            </w:tcBorders>
            <w:shd w:val="clear" w:color="auto" w:fill="D9E2F3"/>
            <w:vAlign w:val="center"/>
            <w:hideMark/>
          </w:tcPr>
          <w:p w14:paraId="0772EFF5"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Content</w:t>
            </w:r>
            <w:r>
              <w:rPr>
                <w:rFonts w:ascii="Times New Roman" w:eastAsia="Times New Roman" w:hAnsi="Times New Roman" w:cs="Times New Roman"/>
                <w:sz w:val="20"/>
                <w:szCs w:val="20"/>
              </w:rPr>
              <w:t> </w:t>
            </w:r>
          </w:p>
        </w:tc>
        <w:tc>
          <w:tcPr>
            <w:tcW w:w="793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5F6C4113"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Weekly Plan                                                                                                                                 Week</w:t>
            </w:r>
            <w:r>
              <w:rPr>
                <w:rFonts w:ascii="Times New Roman" w:eastAsia="Times New Roman" w:hAnsi="Times New Roman" w:cs="Times New Roman"/>
                <w:sz w:val="20"/>
                <w:szCs w:val="20"/>
              </w:rPr>
              <w:t> </w:t>
            </w:r>
          </w:p>
        </w:tc>
      </w:tr>
      <w:tr w:rsidR="00326E7C" w14:paraId="47775ED4" w14:textId="77777777" w:rsidTr="00326E7C">
        <w:trPr>
          <w:trHeight w:val="525"/>
        </w:trPr>
        <w:tc>
          <w:tcPr>
            <w:tcW w:w="0" w:type="auto"/>
            <w:vMerge/>
            <w:tcBorders>
              <w:top w:val="single" w:sz="6" w:space="0" w:color="7F7F7F"/>
              <w:left w:val="single" w:sz="6" w:space="0" w:color="auto"/>
              <w:bottom w:val="nil"/>
              <w:right w:val="single" w:sz="6" w:space="0" w:color="auto"/>
            </w:tcBorders>
            <w:vAlign w:val="center"/>
            <w:hideMark/>
          </w:tcPr>
          <w:p w14:paraId="1E2D7C34"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520290BC"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Familiarizing students with the module, lesson plan, assessment criteria, expected learning outcomes and literature.                                                                                                  </w:t>
            </w:r>
            <w:r>
              <w:rPr>
                <w:rFonts w:ascii="Times New Roman" w:eastAsia="Times New Roman" w:hAnsi="Times New Roman" w:cs="Times New Roman"/>
                <w:b/>
                <w:bCs/>
                <w:sz w:val="20"/>
                <w:szCs w:val="20"/>
                <w:lang w:val="it-IT"/>
              </w:rPr>
              <w:t>Week 1</w:t>
            </w:r>
            <w:r>
              <w:rPr>
                <w:rFonts w:ascii="Times New Roman" w:eastAsia="Times New Roman" w:hAnsi="Times New Roman" w:cs="Times New Roman"/>
                <w:sz w:val="20"/>
                <w:szCs w:val="20"/>
              </w:rPr>
              <w:t> </w:t>
            </w:r>
          </w:p>
        </w:tc>
      </w:tr>
      <w:tr w:rsidR="00326E7C" w14:paraId="183A99CF" w14:textId="77777777" w:rsidTr="00326E7C">
        <w:trPr>
          <w:trHeight w:val="540"/>
        </w:trPr>
        <w:tc>
          <w:tcPr>
            <w:tcW w:w="0" w:type="auto"/>
            <w:vMerge/>
            <w:tcBorders>
              <w:top w:val="single" w:sz="6" w:space="0" w:color="7F7F7F"/>
              <w:left w:val="single" w:sz="6" w:space="0" w:color="auto"/>
              <w:bottom w:val="nil"/>
              <w:right w:val="single" w:sz="6" w:space="0" w:color="auto"/>
            </w:tcBorders>
            <w:vAlign w:val="center"/>
            <w:hideMark/>
          </w:tcPr>
          <w:p w14:paraId="497DBF62"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782400AB"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l-SI"/>
              </w:rPr>
              <w:t xml:space="preserve">Basic food preparation processes, accessories, utensils and containers for food preparation and storage.                                                                                                                     </w:t>
            </w:r>
            <w:r>
              <w:rPr>
                <w:rFonts w:ascii="Times New Roman" w:eastAsia="Times New Roman" w:hAnsi="Times New Roman" w:cs="Times New Roman"/>
                <w:b/>
                <w:bCs/>
                <w:sz w:val="20"/>
                <w:szCs w:val="20"/>
                <w:lang w:val="sl-SI"/>
              </w:rPr>
              <w:t>Week 2</w:t>
            </w:r>
            <w:r>
              <w:rPr>
                <w:rFonts w:ascii="Times New Roman" w:eastAsia="Times New Roman" w:hAnsi="Times New Roman" w:cs="Times New Roman"/>
                <w:sz w:val="20"/>
                <w:szCs w:val="20"/>
              </w:rPr>
              <w:t> </w:t>
            </w:r>
          </w:p>
        </w:tc>
      </w:tr>
      <w:tr w:rsidR="00326E7C" w14:paraId="060CF396" w14:textId="77777777" w:rsidTr="00326E7C">
        <w:trPr>
          <w:trHeight w:val="345"/>
        </w:trPr>
        <w:tc>
          <w:tcPr>
            <w:tcW w:w="0" w:type="auto"/>
            <w:vMerge/>
            <w:tcBorders>
              <w:top w:val="single" w:sz="6" w:space="0" w:color="7F7F7F"/>
              <w:left w:val="single" w:sz="6" w:space="0" w:color="auto"/>
              <w:bottom w:val="nil"/>
              <w:right w:val="single" w:sz="6" w:space="0" w:color="auto"/>
            </w:tcBorders>
            <w:vAlign w:val="center"/>
            <w:hideMark/>
          </w:tcPr>
          <w:p w14:paraId="1B2B4D14"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6738B88D"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The influence of heating on changes in the biochemical composition of foods.            </w:t>
            </w:r>
            <w:r>
              <w:rPr>
                <w:rFonts w:ascii="Times New Roman" w:eastAsia="Times New Roman" w:hAnsi="Times New Roman" w:cs="Times New Roman"/>
                <w:b/>
                <w:bCs/>
                <w:sz w:val="20"/>
                <w:szCs w:val="20"/>
                <w:lang w:val="sq-AL"/>
              </w:rPr>
              <w:t>Week 3</w:t>
            </w:r>
            <w:r>
              <w:rPr>
                <w:rFonts w:ascii="Times New Roman" w:eastAsia="Times New Roman" w:hAnsi="Times New Roman" w:cs="Times New Roman"/>
                <w:sz w:val="20"/>
                <w:szCs w:val="20"/>
              </w:rPr>
              <w:t> </w:t>
            </w:r>
          </w:p>
        </w:tc>
      </w:tr>
      <w:tr w:rsidR="00326E7C" w14:paraId="46E1D2EA" w14:textId="77777777" w:rsidTr="00326E7C">
        <w:trPr>
          <w:trHeight w:val="255"/>
        </w:trPr>
        <w:tc>
          <w:tcPr>
            <w:tcW w:w="0" w:type="auto"/>
            <w:vMerge/>
            <w:tcBorders>
              <w:top w:val="single" w:sz="6" w:space="0" w:color="7F7F7F"/>
              <w:left w:val="single" w:sz="6" w:space="0" w:color="auto"/>
              <w:bottom w:val="nil"/>
              <w:right w:val="single" w:sz="6" w:space="0" w:color="auto"/>
            </w:tcBorders>
            <w:vAlign w:val="center"/>
            <w:hideMark/>
          </w:tcPr>
          <w:p w14:paraId="39E9665C"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4A0898FC"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Positive nutritional changes during food preparation.                                                    </w:t>
            </w:r>
            <w:r>
              <w:rPr>
                <w:rFonts w:ascii="Times New Roman" w:eastAsia="Times New Roman" w:hAnsi="Times New Roman" w:cs="Times New Roman"/>
                <w:b/>
                <w:bCs/>
                <w:sz w:val="20"/>
                <w:szCs w:val="20"/>
                <w:lang w:val="sq-AL"/>
              </w:rPr>
              <w:t>Week 4</w:t>
            </w:r>
            <w:r>
              <w:rPr>
                <w:rFonts w:ascii="Times New Roman" w:eastAsia="Times New Roman" w:hAnsi="Times New Roman" w:cs="Times New Roman"/>
                <w:sz w:val="20"/>
                <w:szCs w:val="20"/>
              </w:rPr>
              <w:t> </w:t>
            </w:r>
          </w:p>
        </w:tc>
      </w:tr>
      <w:tr w:rsidR="00326E7C" w14:paraId="3F0E67D8" w14:textId="77777777" w:rsidTr="00326E7C">
        <w:trPr>
          <w:trHeight w:val="555"/>
        </w:trPr>
        <w:tc>
          <w:tcPr>
            <w:tcW w:w="0" w:type="auto"/>
            <w:vMerge/>
            <w:tcBorders>
              <w:top w:val="single" w:sz="6" w:space="0" w:color="7F7F7F"/>
              <w:left w:val="single" w:sz="6" w:space="0" w:color="auto"/>
              <w:bottom w:val="nil"/>
              <w:right w:val="single" w:sz="6" w:space="0" w:color="auto"/>
            </w:tcBorders>
            <w:vAlign w:val="center"/>
            <w:hideMark/>
          </w:tcPr>
          <w:p w14:paraId="60652CE7"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24788837"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Negative changes during food preparation and prevention procedures, the formation of harmful by-products</w:t>
            </w:r>
            <w:r>
              <w:rPr>
                <w:rFonts w:ascii="Times New Roman" w:eastAsia="Times New Roman" w:hAnsi="Times New Roman" w:cs="Times New Roman"/>
                <w:b/>
                <w:bCs/>
                <w:sz w:val="20"/>
                <w:szCs w:val="20"/>
                <w:lang w:val="sq-AL"/>
              </w:rPr>
              <w:t>.                                                                                                       Week 5</w:t>
            </w:r>
            <w:r>
              <w:rPr>
                <w:rFonts w:ascii="Times New Roman" w:eastAsia="Times New Roman" w:hAnsi="Times New Roman" w:cs="Times New Roman"/>
                <w:sz w:val="20"/>
                <w:szCs w:val="20"/>
              </w:rPr>
              <w:t> </w:t>
            </w:r>
          </w:p>
        </w:tc>
      </w:tr>
      <w:tr w:rsidR="00326E7C" w14:paraId="780389D0" w14:textId="77777777" w:rsidTr="00326E7C">
        <w:trPr>
          <w:trHeight w:val="600"/>
        </w:trPr>
        <w:tc>
          <w:tcPr>
            <w:tcW w:w="0" w:type="auto"/>
            <w:vMerge/>
            <w:tcBorders>
              <w:top w:val="single" w:sz="6" w:space="0" w:color="7F7F7F"/>
              <w:left w:val="single" w:sz="6" w:space="0" w:color="auto"/>
              <w:bottom w:val="nil"/>
              <w:right w:val="single" w:sz="6" w:space="0" w:color="auto"/>
            </w:tcBorders>
            <w:vAlign w:val="center"/>
            <w:hideMark/>
          </w:tcPr>
          <w:p w14:paraId="26B29659"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2C3E95BF"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Preparation of food products (raw materials) of plant and animal origin for different needs and consumers.                                                                                                                </w:t>
            </w:r>
            <w:r>
              <w:rPr>
                <w:rFonts w:ascii="Times New Roman" w:eastAsia="Times New Roman" w:hAnsi="Times New Roman" w:cs="Times New Roman"/>
                <w:b/>
                <w:bCs/>
                <w:sz w:val="20"/>
                <w:szCs w:val="20"/>
                <w:lang w:val="sq-AL"/>
              </w:rPr>
              <w:t>Week 6</w:t>
            </w:r>
            <w:r>
              <w:rPr>
                <w:rFonts w:ascii="Times New Roman" w:eastAsia="Times New Roman" w:hAnsi="Times New Roman" w:cs="Times New Roman"/>
                <w:sz w:val="20"/>
                <w:szCs w:val="20"/>
              </w:rPr>
              <w:t> </w:t>
            </w:r>
          </w:p>
        </w:tc>
      </w:tr>
      <w:tr w:rsidR="00326E7C" w14:paraId="2540BA22" w14:textId="77777777" w:rsidTr="00326E7C">
        <w:trPr>
          <w:trHeight w:val="540"/>
        </w:trPr>
        <w:tc>
          <w:tcPr>
            <w:tcW w:w="0" w:type="auto"/>
            <w:vMerge/>
            <w:tcBorders>
              <w:top w:val="single" w:sz="6" w:space="0" w:color="7F7F7F"/>
              <w:left w:val="single" w:sz="6" w:space="0" w:color="auto"/>
              <w:bottom w:val="nil"/>
              <w:right w:val="single" w:sz="6" w:space="0" w:color="auto"/>
            </w:tcBorders>
            <w:vAlign w:val="center"/>
            <w:hideMark/>
          </w:tcPr>
          <w:p w14:paraId="3ACAF111"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168EE06F" w14:textId="77777777" w:rsidR="00326E7C" w:rsidRDefault="00326E7C">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Presentation of Seminar Papers and Student Projects                                                     </w:t>
            </w:r>
            <w:r>
              <w:rPr>
                <w:rFonts w:ascii="Times New Roman" w:eastAsia="Times New Roman" w:hAnsi="Times New Roman" w:cs="Times New Roman"/>
                <w:b/>
                <w:bCs/>
                <w:sz w:val="20"/>
                <w:szCs w:val="20"/>
                <w:lang w:val="sq-AL"/>
              </w:rPr>
              <w:t>Week 7</w:t>
            </w:r>
            <w:r>
              <w:rPr>
                <w:rFonts w:ascii="Times New Roman" w:eastAsia="Times New Roman" w:hAnsi="Times New Roman" w:cs="Times New Roman"/>
                <w:sz w:val="20"/>
                <w:szCs w:val="20"/>
              </w:rPr>
              <w:t> </w:t>
            </w:r>
          </w:p>
          <w:p w14:paraId="0244D234"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Planning and organizing different food preparation systems.                                         </w:t>
            </w:r>
            <w:r>
              <w:rPr>
                <w:rFonts w:ascii="Times New Roman" w:eastAsia="Times New Roman" w:hAnsi="Times New Roman" w:cs="Times New Roman"/>
                <w:b/>
                <w:bCs/>
                <w:sz w:val="20"/>
                <w:szCs w:val="20"/>
                <w:lang w:val="sq-AL"/>
              </w:rPr>
              <w:t>Week 8</w:t>
            </w:r>
            <w:r>
              <w:rPr>
                <w:rFonts w:ascii="Times New Roman" w:eastAsia="Times New Roman" w:hAnsi="Times New Roman" w:cs="Times New Roman"/>
                <w:sz w:val="20"/>
                <w:szCs w:val="20"/>
              </w:rPr>
              <w:t> </w:t>
            </w:r>
          </w:p>
        </w:tc>
      </w:tr>
      <w:tr w:rsidR="00326E7C" w14:paraId="4B438735" w14:textId="77777777" w:rsidTr="00326E7C">
        <w:trPr>
          <w:trHeight w:val="540"/>
        </w:trPr>
        <w:tc>
          <w:tcPr>
            <w:tcW w:w="0" w:type="auto"/>
            <w:vMerge/>
            <w:tcBorders>
              <w:top w:val="single" w:sz="6" w:space="0" w:color="7F7F7F"/>
              <w:left w:val="single" w:sz="6" w:space="0" w:color="auto"/>
              <w:bottom w:val="nil"/>
              <w:right w:val="single" w:sz="6" w:space="0" w:color="auto"/>
            </w:tcBorders>
            <w:vAlign w:val="center"/>
            <w:hideMark/>
          </w:tcPr>
          <w:p w14:paraId="3F316865"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657EC474"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Space organization, equipment, food preparation and distribution processes.               </w:t>
            </w:r>
            <w:r>
              <w:rPr>
                <w:rFonts w:ascii="Times New Roman" w:eastAsia="Times New Roman" w:hAnsi="Times New Roman" w:cs="Times New Roman"/>
                <w:b/>
                <w:bCs/>
                <w:sz w:val="20"/>
                <w:szCs w:val="20"/>
                <w:lang w:val="sq-AL"/>
              </w:rPr>
              <w:t>Week 9</w:t>
            </w:r>
            <w:r>
              <w:rPr>
                <w:rFonts w:ascii="Times New Roman" w:eastAsia="Times New Roman" w:hAnsi="Times New Roman" w:cs="Times New Roman"/>
                <w:sz w:val="20"/>
                <w:szCs w:val="20"/>
              </w:rPr>
              <w:t> </w:t>
            </w:r>
          </w:p>
        </w:tc>
      </w:tr>
      <w:tr w:rsidR="00326E7C" w14:paraId="0C44A270" w14:textId="77777777" w:rsidTr="00326E7C">
        <w:trPr>
          <w:trHeight w:val="555"/>
        </w:trPr>
        <w:tc>
          <w:tcPr>
            <w:tcW w:w="0" w:type="auto"/>
            <w:vMerge/>
            <w:tcBorders>
              <w:top w:val="single" w:sz="6" w:space="0" w:color="7F7F7F"/>
              <w:left w:val="single" w:sz="6" w:space="0" w:color="auto"/>
              <w:bottom w:val="nil"/>
              <w:right w:val="single" w:sz="6" w:space="0" w:color="auto"/>
            </w:tcBorders>
            <w:vAlign w:val="center"/>
            <w:hideMark/>
          </w:tcPr>
          <w:p w14:paraId="78A6D9C3"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33FD020E"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The role and use of auxiliary raw materials in food preparation and production.            </w:t>
            </w:r>
            <w:r>
              <w:rPr>
                <w:rFonts w:ascii="Times New Roman" w:eastAsia="Times New Roman" w:hAnsi="Times New Roman" w:cs="Times New Roman"/>
                <w:b/>
                <w:bCs/>
                <w:sz w:val="20"/>
                <w:szCs w:val="20"/>
                <w:lang w:val="sq-AL"/>
              </w:rPr>
              <w:t>Week 10</w:t>
            </w:r>
            <w:r>
              <w:rPr>
                <w:rFonts w:ascii="Times New Roman" w:eastAsia="Times New Roman" w:hAnsi="Times New Roman" w:cs="Times New Roman"/>
                <w:sz w:val="20"/>
                <w:szCs w:val="20"/>
              </w:rPr>
              <w:t> </w:t>
            </w:r>
          </w:p>
        </w:tc>
      </w:tr>
      <w:tr w:rsidR="00326E7C" w14:paraId="72230F87" w14:textId="77777777" w:rsidTr="00326E7C">
        <w:trPr>
          <w:trHeight w:val="855"/>
        </w:trPr>
        <w:tc>
          <w:tcPr>
            <w:tcW w:w="0" w:type="auto"/>
            <w:vMerge/>
            <w:tcBorders>
              <w:top w:val="single" w:sz="6" w:space="0" w:color="7F7F7F"/>
              <w:left w:val="single" w:sz="6" w:space="0" w:color="auto"/>
              <w:bottom w:val="nil"/>
              <w:right w:val="single" w:sz="6" w:space="0" w:color="auto"/>
            </w:tcBorders>
            <w:vAlign w:val="center"/>
            <w:hideMark/>
          </w:tcPr>
          <w:p w14:paraId="401863E0"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02BC6344"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Techniques of handling food products in warehouses, transportation and food preparation.                                 Week 11.</w:t>
            </w:r>
            <w:r>
              <w:rPr>
                <w:rFonts w:ascii="Times New Roman" w:eastAsia="Times New Roman" w:hAnsi="Times New Roman" w:cs="Times New Roman"/>
                <w:sz w:val="20"/>
                <w:szCs w:val="20"/>
              </w:rPr>
              <w:t> </w:t>
            </w:r>
          </w:p>
          <w:p w14:paraId="1038E7D8"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Hygienic aspect of meal preparation.                                                                           </w:t>
            </w:r>
            <w:r>
              <w:rPr>
                <w:rFonts w:ascii="Times New Roman" w:eastAsia="Times New Roman" w:hAnsi="Times New Roman" w:cs="Times New Roman"/>
                <w:b/>
                <w:bCs/>
                <w:sz w:val="20"/>
                <w:szCs w:val="20"/>
                <w:lang w:val="sq-AL"/>
              </w:rPr>
              <w:t>Week 12</w:t>
            </w:r>
            <w:r>
              <w:rPr>
                <w:rFonts w:ascii="Times New Roman" w:eastAsia="Times New Roman" w:hAnsi="Times New Roman" w:cs="Times New Roman"/>
                <w:sz w:val="20"/>
                <w:szCs w:val="20"/>
              </w:rPr>
              <w:t> </w:t>
            </w:r>
          </w:p>
        </w:tc>
      </w:tr>
      <w:tr w:rsidR="00326E7C" w14:paraId="575B9241" w14:textId="77777777" w:rsidTr="00326E7C">
        <w:trPr>
          <w:trHeight w:val="1245"/>
        </w:trPr>
        <w:tc>
          <w:tcPr>
            <w:tcW w:w="0" w:type="auto"/>
            <w:vMerge/>
            <w:tcBorders>
              <w:top w:val="single" w:sz="6" w:space="0" w:color="7F7F7F"/>
              <w:left w:val="single" w:sz="6" w:space="0" w:color="auto"/>
              <w:bottom w:val="nil"/>
              <w:right w:val="single" w:sz="6" w:space="0" w:color="auto"/>
            </w:tcBorders>
            <w:vAlign w:val="center"/>
            <w:hideMark/>
          </w:tcPr>
          <w:p w14:paraId="46179884" w14:textId="77777777" w:rsidR="00326E7C" w:rsidRDefault="00326E7C">
            <w:pPr>
              <w:spacing w:after="0"/>
              <w:rPr>
                <w:rFonts w:ascii="Times New Roman" w:eastAsia="Times New Roman" w:hAnsi="Times New Roman" w:cs="Times New Roman"/>
                <w:sz w:val="20"/>
                <w:szCs w:val="20"/>
              </w:rPr>
            </w:pPr>
          </w:p>
        </w:tc>
        <w:tc>
          <w:tcPr>
            <w:tcW w:w="7930" w:type="dxa"/>
            <w:gridSpan w:val="4"/>
            <w:tcBorders>
              <w:top w:val="single" w:sz="6" w:space="0" w:color="auto"/>
              <w:left w:val="single" w:sz="6" w:space="0" w:color="auto"/>
              <w:bottom w:val="single" w:sz="6" w:space="0" w:color="auto"/>
              <w:right w:val="single" w:sz="6" w:space="0" w:color="auto"/>
            </w:tcBorders>
            <w:hideMark/>
          </w:tcPr>
          <w:p w14:paraId="1242DE24"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New technological methods of food preparation.                                                             </w:t>
            </w:r>
            <w:r>
              <w:rPr>
                <w:rFonts w:ascii="Times New Roman" w:eastAsia="Times New Roman" w:hAnsi="Times New Roman" w:cs="Times New Roman"/>
                <w:b/>
                <w:bCs/>
                <w:sz w:val="20"/>
                <w:szCs w:val="20"/>
                <w:lang w:val="sq-AL"/>
              </w:rPr>
              <w:t>Week 13</w:t>
            </w:r>
            <w:r>
              <w:rPr>
                <w:rFonts w:ascii="Times New Roman" w:eastAsia="Times New Roman" w:hAnsi="Times New Roman" w:cs="Times New Roman"/>
                <w:sz w:val="20"/>
                <w:szCs w:val="20"/>
              </w:rPr>
              <w:t> </w:t>
            </w:r>
          </w:p>
          <w:p w14:paraId="2A50CAEB"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88569EA"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Presentation of Seminar Papers and Student Projects                                                       </w:t>
            </w:r>
            <w:r>
              <w:rPr>
                <w:rFonts w:ascii="Times New Roman" w:eastAsia="Times New Roman" w:hAnsi="Times New Roman" w:cs="Times New Roman"/>
                <w:b/>
                <w:bCs/>
                <w:sz w:val="20"/>
                <w:szCs w:val="20"/>
                <w:lang w:val="sq-AL"/>
              </w:rPr>
              <w:t>Week 14</w:t>
            </w:r>
            <w:r>
              <w:rPr>
                <w:rFonts w:ascii="Times New Roman" w:eastAsia="Times New Roman" w:hAnsi="Times New Roman" w:cs="Times New Roman"/>
                <w:sz w:val="20"/>
                <w:szCs w:val="20"/>
              </w:rPr>
              <w:t> </w:t>
            </w:r>
          </w:p>
          <w:p w14:paraId="313D4054"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5D995FC"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 xml:space="preserve">Final exam.                                                                                                                         </w:t>
            </w:r>
            <w:r>
              <w:rPr>
                <w:rFonts w:ascii="Times New Roman" w:eastAsia="Times New Roman" w:hAnsi="Times New Roman" w:cs="Times New Roman"/>
                <w:b/>
                <w:bCs/>
                <w:sz w:val="20"/>
                <w:szCs w:val="20"/>
                <w:lang w:val="sq-AL"/>
              </w:rPr>
              <w:t>Week 15</w:t>
            </w:r>
            <w:r>
              <w:rPr>
                <w:rFonts w:ascii="Times New Roman" w:eastAsia="Times New Roman" w:hAnsi="Times New Roman" w:cs="Times New Roman"/>
                <w:sz w:val="20"/>
                <w:szCs w:val="20"/>
              </w:rPr>
              <w:t> </w:t>
            </w:r>
          </w:p>
        </w:tc>
      </w:tr>
      <w:tr w:rsidR="00326E7C" w14:paraId="50F5EB9C" w14:textId="77777777" w:rsidTr="00326E7C">
        <w:trPr>
          <w:trHeight w:val="435"/>
        </w:trPr>
        <w:tc>
          <w:tcPr>
            <w:tcW w:w="1414" w:type="dxa"/>
            <w:tcBorders>
              <w:top w:val="single" w:sz="6" w:space="0" w:color="7F7F7F"/>
              <w:left w:val="single" w:sz="6" w:space="0" w:color="auto"/>
              <w:bottom w:val="single" w:sz="6" w:space="0" w:color="7F7F7F"/>
              <w:right w:val="single" w:sz="6" w:space="0" w:color="auto"/>
            </w:tcBorders>
            <w:shd w:val="clear" w:color="auto" w:fill="D9E2F3"/>
            <w:vAlign w:val="center"/>
            <w:hideMark/>
          </w:tcPr>
          <w:p w14:paraId="6F0699CF"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Literature / References</w:t>
            </w:r>
            <w:r>
              <w:rPr>
                <w:rFonts w:ascii="Times New Roman" w:eastAsia="Times New Roman" w:hAnsi="Times New Roman" w:cs="Times New Roman"/>
                <w:sz w:val="20"/>
                <w:szCs w:val="20"/>
              </w:rPr>
              <w:t> </w:t>
            </w:r>
          </w:p>
        </w:tc>
        <w:tc>
          <w:tcPr>
            <w:tcW w:w="7930" w:type="dxa"/>
            <w:gridSpan w:val="4"/>
            <w:tcBorders>
              <w:top w:val="single" w:sz="6" w:space="0" w:color="auto"/>
              <w:left w:val="single" w:sz="6" w:space="0" w:color="auto"/>
              <w:bottom w:val="single" w:sz="6" w:space="0" w:color="7F7F7F"/>
              <w:right w:val="single" w:sz="6" w:space="0" w:color="7F7F7F"/>
            </w:tcBorders>
            <w:hideMark/>
          </w:tcPr>
          <w:p w14:paraId="6B477E00"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u w:val="single"/>
                <w:lang w:val="sl-SI"/>
              </w:rPr>
              <w:t>Mandatory:</w:t>
            </w:r>
            <w:r>
              <w:rPr>
                <w:rFonts w:ascii="Times New Roman" w:eastAsia="Times New Roman" w:hAnsi="Times New Roman" w:cs="Times New Roman"/>
                <w:sz w:val="20"/>
                <w:szCs w:val="20"/>
              </w:rPr>
              <w:t> </w:t>
            </w:r>
          </w:p>
          <w:p w14:paraId="30B9C41B"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1A50E42"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l-SI"/>
              </w:rPr>
              <w:t>Teaching material for the course NUTRITIONAL ASPECTS OF FOOD PREPARATION (ppt), FACULTY OF FOOD SCIENCE AND BIOTECHNOLOGY</w:t>
            </w:r>
            <w:r>
              <w:rPr>
                <w:rFonts w:ascii="Times New Roman" w:eastAsia="Times New Roman" w:hAnsi="Times New Roman" w:cs="Times New Roman"/>
                <w:sz w:val="20"/>
                <w:szCs w:val="20"/>
                <w:lang w:val="sq-AL"/>
              </w:rPr>
              <w:t> </w:t>
            </w:r>
            <w:r>
              <w:rPr>
                <w:rFonts w:ascii="Times New Roman" w:eastAsia="Times New Roman" w:hAnsi="Times New Roman" w:cs="Times New Roman"/>
                <w:sz w:val="20"/>
                <w:szCs w:val="20"/>
              </w:rPr>
              <w:t> </w:t>
            </w:r>
          </w:p>
          <w:p w14:paraId="1420DAA3"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B705ED4"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0F2CD06"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u w:val="single"/>
                <w:lang w:val="sq-AL"/>
              </w:rPr>
              <w:t>Additional material:</w:t>
            </w:r>
            <w:r>
              <w:rPr>
                <w:rFonts w:ascii="Times New Roman" w:eastAsia="Times New Roman" w:hAnsi="Times New Roman" w:cs="Times New Roman"/>
                <w:sz w:val="20"/>
                <w:szCs w:val="20"/>
              </w:rPr>
              <w:t> </w:t>
            </w:r>
          </w:p>
          <w:p w14:paraId="6DB02922"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A26E1E8" w14:textId="77777777" w:rsidR="00326E7C" w:rsidRDefault="00326E7C" w:rsidP="00863895">
            <w:pPr>
              <w:numPr>
                <w:ilvl w:val="0"/>
                <w:numId w:val="2"/>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Mateljan, G. (2015): The World's Healthiest Foods,</w:t>
            </w:r>
            <w:r>
              <w:rPr>
                <w:rFonts w:ascii="Times New Roman" w:eastAsia="Times New Roman" w:hAnsi="Times New Roman" w:cs="Times New Roman"/>
                <w:color w:val="0F1111"/>
                <w:sz w:val="20"/>
                <w:szCs w:val="20"/>
                <w:lang w:val="en-GB"/>
              </w:rPr>
              <w:t>2nd Edition</w:t>
            </w:r>
            <w:r>
              <w:rPr>
                <w:rFonts w:ascii="Times New Roman" w:eastAsia="Times New Roman" w:hAnsi="Times New Roman" w:cs="Times New Roman"/>
                <w:color w:val="0F1111"/>
                <w:sz w:val="20"/>
                <w:szCs w:val="20"/>
              </w:rPr>
              <w:t> </w:t>
            </w:r>
          </w:p>
          <w:p w14:paraId="60B55221" w14:textId="77777777" w:rsidR="00326E7C" w:rsidRDefault="00326E7C" w:rsidP="00863895">
            <w:pPr>
              <w:numPr>
                <w:ilvl w:val="0"/>
                <w:numId w:val="3"/>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F1111"/>
                <w:sz w:val="20"/>
                <w:szCs w:val="20"/>
                <w:shd w:val="clear" w:color="auto" w:fill="FFFFFF"/>
                <w:lang w:val="en-GB"/>
              </w:rPr>
              <w:t>Sari Edelstein (2010) Food, Cusine, and Cultural Competency for Culinary, Hospitality, and Nutrition Professionals 1 st Edition ISBN -10 0763759651</w:t>
            </w:r>
            <w:r>
              <w:rPr>
                <w:rFonts w:ascii="Times New Roman" w:eastAsia="Times New Roman" w:hAnsi="Times New Roman" w:cs="Times New Roman"/>
                <w:color w:val="0F1111"/>
                <w:sz w:val="20"/>
                <w:szCs w:val="20"/>
              </w:rPr>
              <w:t> </w:t>
            </w:r>
          </w:p>
          <w:p w14:paraId="271C9574" w14:textId="77777777" w:rsidR="00326E7C" w:rsidRDefault="00326E7C" w:rsidP="00863895">
            <w:pPr>
              <w:numPr>
                <w:ilvl w:val="0"/>
                <w:numId w:val="4"/>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Anita Tull &amp; Garry Littlewood. 2016. Food preparation and Nutrition.      Illuminate Publishing Limited. ISBN 978-1-908682</w:t>
            </w:r>
            <w:r>
              <w:rPr>
                <w:rFonts w:ascii="Times New Roman" w:eastAsia="Times New Roman" w:hAnsi="Times New Roman" w:cs="Times New Roman"/>
                <w:sz w:val="20"/>
                <w:szCs w:val="20"/>
              </w:rPr>
              <w:t> </w:t>
            </w:r>
          </w:p>
          <w:p w14:paraId="0E9E5856" w14:textId="77777777" w:rsidR="00326E7C" w:rsidRDefault="00326E7C" w:rsidP="00863895">
            <w:pPr>
              <w:numPr>
                <w:ilvl w:val="0"/>
                <w:numId w:val="5"/>
              </w:numPr>
              <w:shd w:val="clear" w:color="auto" w:fill="FFFFFF"/>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L.Kathleen Mahan, Ms, Rdn, Cd. Janice L. Raymond, Ms, Rdn, Dc, Csg. 2017. Krause's Food &amp; the Nutrition Care Process. St. Louis, Missouri: Elsevier, (2017). ISBN: 9780323340755. </w:t>
            </w:r>
          </w:p>
          <w:p w14:paraId="6BAFA2DF" w14:textId="77777777" w:rsidR="00326E7C" w:rsidRDefault="00326E7C" w:rsidP="00863895">
            <w:pPr>
              <w:numPr>
                <w:ilvl w:val="0"/>
                <w:numId w:val="6"/>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l-SI"/>
              </w:rPr>
              <w:t>Stadler, R.H., Lineback, D.R. (2008): Process-Induced Food Toxicants: Occurrence, Formation, Mitigation, and Health Risks. John Wiley &amp; Sons, Hoboken, New Jersey.</w:t>
            </w:r>
            <w:r>
              <w:rPr>
                <w:rFonts w:ascii="Times New Roman" w:eastAsia="Times New Roman" w:hAnsi="Times New Roman" w:cs="Times New Roman"/>
                <w:sz w:val="20"/>
                <w:szCs w:val="20"/>
              </w:rPr>
              <w:t> </w:t>
            </w:r>
          </w:p>
          <w:p w14:paraId="4C0837BA" w14:textId="77777777" w:rsidR="00326E7C" w:rsidRDefault="00326E7C" w:rsidP="00863895">
            <w:pPr>
              <w:numPr>
                <w:ilvl w:val="0"/>
                <w:numId w:val="7"/>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l-SI"/>
              </w:rPr>
              <w:t>Mateljan, G. (2015): Najzdravije namirnice svijeta, Mozaik knjiga Zagreb i Udruga Zdravi grad, Split</w:t>
            </w:r>
            <w:r>
              <w:rPr>
                <w:rFonts w:ascii="Times New Roman" w:eastAsia="Times New Roman" w:hAnsi="Times New Roman" w:cs="Times New Roman"/>
                <w:sz w:val="20"/>
                <w:szCs w:val="20"/>
              </w:rPr>
              <w:t> </w:t>
            </w:r>
          </w:p>
          <w:p w14:paraId="724EB801" w14:textId="77777777" w:rsidR="00326E7C" w:rsidRDefault="00326E7C" w:rsidP="00863895">
            <w:pPr>
              <w:numPr>
                <w:ilvl w:val="0"/>
                <w:numId w:val="8"/>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Articles from reputable scientific journals. </w:t>
            </w:r>
          </w:p>
        </w:tc>
      </w:tr>
      <w:tr w:rsidR="00326E7C" w14:paraId="2D4E5324" w14:textId="77777777" w:rsidTr="00326E7C">
        <w:trPr>
          <w:trHeight w:val="465"/>
        </w:trPr>
        <w:tc>
          <w:tcPr>
            <w:tcW w:w="1414" w:type="dxa"/>
            <w:tcBorders>
              <w:top w:val="single" w:sz="6" w:space="0" w:color="7F7F7F"/>
              <w:left w:val="single" w:sz="6" w:space="0" w:color="auto"/>
              <w:bottom w:val="single" w:sz="6" w:space="0" w:color="7F7F7F"/>
              <w:right w:val="single" w:sz="6" w:space="0" w:color="auto"/>
            </w:tcBorders>
            <w:shd w:val="clear" w:color="auto" w:fill="D9E2F3"/>
            <w:vAlign w:val="center"/>
            <w:hideMark/>
          </w:tcPr>
          <w:p w14:paraId="055C9339"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sq-AL"/>
              </w:rPr>
              <w:t>Contact</w:t>
            </w:r>
            <w:r>
              <w:rPr>
                <w:rFonts w:ascii="Times New Roman" w:eastAsia="Times New Roman" w:hAnsi="Times New Roman" w:cs="Times New Roman"/>
                <w:sz w:val="20"/>
                <w:szCs w:val="20"/>
              </w:rPr>
              <w:t> </w:t>
            </w:r>
          </w:p>
        </w:tc>
        <w:tc>
          <w:tcPr>
            <w:tcW w:w="7930" w:type="dxa"/>
            <w:gridSpan w:val="4"/>
            <w:tcBorders>
              <w:top w:val="single" w:sz="6" w:space="0" w:color="7F7F7F"/>
              <w:left w:val="single" w:sz="6" w:space="0" w:color="auto"/>
              <w:bottom w:val="single" w:sz="6" w:space="0" w:color="7F7F7F"/>
              <w:right w:val="single" w:sz="6" w:space="0" w:color="7F7F7F"/>
            </w:tcBorders>
            <w:hideMark/>
          </w:tcPr>
          <w:p w14:paraId="4B889320"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1810CEA"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Prof.Asst.Dr.Laura Binxhija Qeska, </w:t>
            </w:r>
            <w:hyperlink r:id="rId5" w:tgtFrame="_blank" w:history="1">
              <w:r>
                <w:rPr>
                  <w:rStyle w:val="Hyperlink"/>
                  <w:rFonts w:ascii="Times New Roman" w:eastAsia="Times New Roman" w:hAnsi="Times New Roman" w:cs="Times New Roman"/>
                  <w:color w:val="0563C1"/>
                  <w:sz w:val="20"/>
                  <w:szCs w:val="20"/>
                  <w:lang w:val="en-GB"/>
                </w:rPr>
                <w:t>laura.binxhija@ubt-uni.net</w:t>
              </w:r>
            </w:hyperlink>
            <w:r>
              <w:rPr>
                <w:rFonts w:ascii="Times New Roman" w:eastAsia="Times New Roman" w:hAnsi="Times New Roman" w:cs="Times New Roman"/>
                <w:sz w:val="20"/>
                <w:szCs w:val="20"/>
              </w:rPr>
              <w:t> </w:t>
            </w:r>
          </w:p>
          <w:p w14:paraId="5ED94220" w14:textId="77777777" w:rsidR="00326E7C" w:rsidRDefault="00326E7C">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w:t>
            </w:r>
            <w:r>
              <w:rPr>
                <w:rFonts w:ascii="Times New Roman" w:eastAsia="Times New Roman" w:hAnsi="Times New Roman" w:cs="Times New Roman"/>
                <w:sz w:val="20"/>
                <w:szCs w:val="20"/>
              </w:rPr>
              <w:t> </w:t>
            </w:r>
          </w:p>
          <w:p w14:paraId="4FCAACA7" w14:textId="77777777" w:rsidR="00326E7C" w:rsidRDefault="00326E7C">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bl>
    <w:p w14:paraId="0ACA42F0"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0527"/>
    <w:multiLevelType w:val="multilevel"/>
    <w:tmpl w:val="AEE655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5C20B4"/>
    <w:multiLevelType w:val="multilevel"/>
    <w:tmpl w:val="B80AD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742DD"/>
    <w:multiLevelType w:val="multilevel"/>
    <w:tmpl w:val="ADA2ADB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A75747"/>
    <w:multiLevelType w:val="multilevel"/>
    <w:tmpl w:val="2F345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325291"/>
    <w:multiLevelType w:val="multilevel"/>
    <w:tmpl w:val="8D44E8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325995"/>
    <w:multiLevelType w:val="multilevel"/>
    <w:tmpl w:val="008A1C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C2811AE"/>
    <w:multiLevelType w:val="multilevel"/>
    <w:tmpl w:val="CC1AA0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AC7AEE"/>
    <w:multiLevelType w:val="multilevel"/>
    <w:tmpl w:val="7D12983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92752391">
    <w:abstractNumId w:val="1"/>
    <w:lvlOverride w:ilvl="0"/>
    <w:lvlOverride w:ilvl="1"/>
    <w:lvlOverride w:ilvl="2"/>
    <w:lvlOverride w:ilvl="3"/>
    <w:lvlOverride w:ilvl="4"/>
    <w:lvlOverride w:ilvl="5"/>
    <w:lvlOverride w:ilvl="6"/>
    <w:lvlOverride w:ilvl="7"/>
    <w:lvlOverride w:ilvl="8"/>
  </w:num>
  <w:num w:numId="2" w16cid:durableId="9146345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99296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66962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49829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124414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829857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621342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BF"/>
    <w:rsid w:val="002F71EA"/>
    <w:rsid w:val="00326E7C"/>
    <w:rsid w:val="007640BF"/>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93136-E379-44CA-B322-BBE3E610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7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binxhija@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2024-03-28T14:49:00Z</dcterms:created>
  <dcterms:modified xsi:type="dcterms:W3CDTF">2024-03-28T14:49:00Z</dcterms:modified>
</cp:coreProperties>
</file>