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bottomFromText="160" w:vertAnchor="text" w:tblpY="1"/>
        <w:tblOverlap w:val="never"/>
        <w:tblW w:w="10188"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274"/>
        <w:gridCol w:w="3138"/>
        <w:gridCol w:w="1274"/>
        <w:gridCol w:w="1286"/>
        <w:gridCol w:w="2216"/>
      </w:tblGrid>
      <w:tr w:rsidR="000C27F6" w14:paraId="54508883" w14:textId="77777777" w:rsidTr="000C27F6">
        <w:tc>
          <w:tcPr>
            <w:tcW w:w="2274"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3535AD9C"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Subject</w:t>
            </w:r>
          </w:p>
          <w:p w14:paraId="6751F730" w14:textId="77777777" w:rsidR="000C27F6" w:rsidRDefault="000C27F6" w:rsidP="00E433D8">
            <w:pPr>
              <w:spacing w:after="0" w:line="240" w:lineRule="auto"/>
              <w:rPr>
                <w:rFonts w:ascii="Times New Roman" w:eastAsia="Calibri" w:hAnsi="Times New Roman" w:cs="Times New Roman"/>
                <w:b/>
                <w:sz w:val="20"/>
                <w:szCs w:val="20"/>
              </w:rPr>
            </w:pPr>
          </w:p>
        </w:tc>
        <w:tc>
          <w:tcPr>
            <w:tcW w:w="7914" w:type="dxa"/>
            <w:gridSpan w:val="4"/>
            <w:tcBorders>
              <w:top w:val="single" w:sz="4" w:space="0" w:color="7F7F7F"/>
              <w:left w:val="single" w:sz="4" w:space="0" w:color="7F7F7F"/>
              <w:bottom w:val="nil"/>
              <w:right w:val="single" w:sz="4" w:space="0" w:color="7F7F7F"/>
            </w:tcBorders>
            <w:vAlign w:val="center"/>
          </w:tcPr>
          <w:p w14:paraId="4E84CB25"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BASIC OF NURTITION</w:t>
            </w:r>
          </w:p>
          <w:p w14:paraId="57723B0F" w14:textId="77777777" w:rsidR="000C27F6" w:rsidRDefault="000C27F6" w:rsidP="00E433D8">
            <w:pPr>
              <w:spacing w:after="0" w:line="240" w:lineRule="auto"/>
              <w:rPr>
                <w:rFonts w:ascii="Times New Roman" w:eastAsia="Calibri" w:hAnsi="Times New Roman" w:cs="Times New Roman"/>
                <w:sz w:val="20"/>
                <w:szCs w:val="20"/>
              </w:rPr>
            </w:pPr>
          </w:p>
        </w:tc>
      </w:tr>
      <w:tr w:rsidR="000C27F6" w14:paraId="7EC9383E" w14:textId="77777777" w:rsidTr="000C27F6">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3091F02B" w14:textId="77777777" w:rsidR="000C27F6" w:rsidRDefault="000C27F6" w:rsidP="00E433D8">
            <w:pPr>
              <w:spacing w:after="0"/>
              <w:rPr>
                <w:rFonts w:ascii="Times New Roman" w:eastAsia="Calibri" w:hAnsi="Times New Roman" w:cs="Times New Roman"/>
                <w:b/>
                <w:sz w:val="20"/>
                <w:szCs w:val="20"/>
              </w:rPr>
            </w:pPr>
          </w:p>
        </w:tc>
        <w:tc>
          <w:tcPr>
            <w:tcW w:w="3138" w:type="dxa"/>
            <w:tcBorders>
              <w:top w:val="nil"/>
              <w:left w:val="single" w:sz="4" w:space="0" w:color="7F7F7F"/>
              <w:bottom w:val="nil"/>
              <w:right w:val="nil"/>
            </w:tcBorders>
            <w:shd w:val="clear" w:color="auto" w:fill="F2F2F2"/>
            <w:vAlign w:val="center"/>
          </w:tcPr>
          <w:p w14:paraId="69B76EA5" w14:textId="77777777" w:rsidR="000C27F6" w:rsidRDefault="000C27F6" w:rsidP="00E433D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Type</w:t>
            </w:r>
          </w:p>
          <w:p w14:paraId="3D1CA5A7" w14:textId="77777777" w:rsidR="000C27F6" w:rsidRDefault="000C27F6" w:rsidP="00E433D8">
            <w:pPr>
              <w:spacing w:after="0" w:line="240" w:lineRule="auto"/>
              <w:jc w:val="center"/>
              <w:rPr>
                <w:rFonts w:ascii="Times New Roman" w:eastAsia="Calibri" w:hAnsi="Times New Roman" w:cs="Times New Roman"/>
                <w:b/>
                <w:sz w:val="20"/>
                <w:szCs w:val="20"/>
              </w:rPr>
            </w:pPr>
          </w:p>
        </w:tc>
        <w:tc>
          <w:tcPr>
            <w:tcW w:w="1274" w:type="dxa"/>
            <w:tcBorders>
              <w:top w:val="nil"/>
              <w:left w:val="nil"/>
              <w:bottom w:val="nil"/>
              <w:right w:val="nil"/>
            </w:tcBorders>
            <w:shd w:val="clear" w:color="auto" w:fill="F2F2F2"/>
            <w:vAlign w:val="center"/>
            <w:hideMark/>
          </w:tcPr>
          <w:p w14:paraId="0F0BDF39" w14:textId="77777777" w:rsidR="000C27F6" w:rsidRDefault="000C27F6" w:rsidP="00E433D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Semester</w:t>
            </w:r>
          </w:p>
        </w:tc>
        <w:tc>
          <w:tcPr>
            <w:tcW w:w="1286" w:type="dxa"/>
            <w:tcBorders>
              <w:top w:val="nil"/>
              <w:left w:val="nil"/>
              <w:bottom w:val="nil"/>
              <w:right w:val="nil"/>
            </w:tcBorders>
            <w:shd w:val="clear" w:color="auto" w:fill="F2F2F2"/>
            <w:vAlign w:val="center"/>
            <w:hideMark/>
          </w:tcPr>
          <w:p w14:paraId="557F423B" w14:textId="77777777" w:rsidR="000C27F6" w:rsidRDefault="000C27F6" w:rsidP="00E433D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ECTS</w:t>
            </w:r>
          </w:p>
        </w:tc>
        <w:tc>
          <w:tcPr>
            <w:tcW w:w="2216" w:type="dxa"/>
            <w:tcBorders>
              <w:top w:val="nil"/>
              <w:left w:val="nil"/>
              <w:bottom w:val="nil"/>
              <w:right w:val="single" w:sz="4" w:space="0" w:color="7F7F7F"/>
            </w:tcBorders>
            <w:shd w:val="clear" w:color="auto" w:fill="F2F2F2"/>
            <w:vAlign w:val="center"/>
            <w:hideMark/>
          </w:tcPr>
          <w:p w14:paraId="0E1CB7F0" w14:textId="77777777" w:rsidR="000C27F6" w:rsidRDefault="000C27F6" w:rsidP="00E433D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Code</w:t>
            </w:r>
          </w:p>
        </w:tc>
      </w:tr>
      <w:tr w:rsidR="000C27F6" w14:paraId="2A0BC518" w14:textId="77777777" w:rsidTr="000C27F6">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087F9C5C" w14:textId="77777777" w:rsidR="000C27F6" w:rsidRDefault="000C27F6" w:rsidP="00E433D8">
            <w:pPr>
              <w:spacing w:after="0"/>
              <w:rPr>
                <w:rFonts w:ascii="Times New Roman" w:eastAsia="Calibri" w:hAnsi="Times New Roman" w:cs="Times New Roman"/>
                <w:b/>
                <w:sz w:val="20"/>
                <w:szCs w:val="20"/>
              </w:rPr>
            </w:pPr>
          </w:p>
        </w:tc>
        <w:tc>
          <w:tcPr>
            <w:tcW w:w="3138" w:type="dxa"/>
            <w:tcBorders>
              <w:top w:val="nil"/>
              <w:left w:val="single" w:sz="4" w:space="0" w:color="7F7F7F"/>
              <w:bottom w:val="single" w:sz="4" w:space="0" w:color="7F7F7F"/>
              <w:right w:val="nil"/>
            </w:tcBorders>
            <w:vAlign w:val="center"/>
          </w:tcPr>
          <w:p w14:paraId="229E3663"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OBLIGATORY (O)</w:t>
            </w:r>
          </w:p>
          <w:p w14:paraId="2A9939F3" w14:textId="77777777" w:rsidR="000C27F6" w:rsidRDefault="000C27F6" w:rsidP="00E433D8">
            <w:pPr>
              <w:spacing w:after="0" w:line="240" w:lineRule="auto"/>
              <w:jc w:val="center"/>
              <w:rPr>
                <w:rFonts w:ascii="Times New Roman" w:eastAsia="Calibri" w:hAnsi="Times New Roman" w:cs="Times New Roman"/>
                <w:sz w:val="20"/>
                <w:szCs w:val="20"/>
              </w:rPr>
            </w:pPr>
          </w:p>
        </w:tc>
        <w:tc>
          <w:tcPr>
            <w:tcW w:w="1274" w:type="dxa"/>
            <w:tcBorders>
              <w:top w:val="nil"/>
              <w:left w:val="nil"/>
              <w:bottom w:val="single" w:sz="4" w:space="0" w:color="7F7F7F"/>
              <w:right w:val="nil"/>
            </w:tcBorders>
            <w:vAlign w:val="center"/>
            <w:hideMark/>
          </w:tcPr>
          <w:p w14:paraId="5350EBC7"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86" w:type="dxa"/>
            <w:tcBorders>
              <w:top w:val="nil"/>
              <w:left w:val="nil"/>
              <w:bottom w:val="single" w:sz="4" w:space="0" w:color="7F7F7F"/>
              <w:right w:val="nil"/>
            </w:tcBorders>
            <w:vAlign w:val="center"/>
            <w:hideMark/>
          </w:tcPr>
          <w:p w14:paraId="62721C97"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16" w:type="dxa"/>
            <w:tcBorders>
              <w:top w:val="nil"/>
              <w:left w:val="nil"/>
              <w:bottom w:val="single" w:sz="4" w:space="0" w:color="7F7F7F"/>
              <w:right w:val="single" w:sz="4" w:space="0" w:color="7F7F7F"/>
            </w:tcBorders>
            <w:vAlign w:val="center"/>
            <w:hideMark/>
          </w:tcPr>
          <w:p w14:paraId="4EBFAAE4"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130BNU204</w:t>
            </w:r>
          </w:p>
        </w:tc>
      </w:tr>
      <w:tr w:rsidR="000C27F6" w14:paraId="594C20AE" w14:textId="77777777" w:rsidTr="000C27F6">
        <w:trPr>
          <w:trHeight w:hRule="exact" w:val="288"/>
        </w:trPr>
        <w:tc>
          <w:tcPr>
            <w:tcW w:w="2274" w:type="dxa"/>
            <w:tcBorders>
              <w:top w:val="single" w:sz="4" w:space="0" w:color="7F7F7F"/>
              <w:left w:val="single" w:sz="4" w:space="0" w:color="7F7F7F"/>
              <w:bottom w:val="nil"/>
              <w:right w:val="nil"/>
            </w:tcBorders>
            <w:shd w:val="clear" w:color="auto" w:fill="D9E2F3"/>
            <w:vAlign w:val="center"/>
            <w:hideMark/>
          </w:tcPr>
          <w:p w14:paraId="20950283"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Course Lecturer</w:t>
            </w:r>
          </w:p>
        </w:tc>
        <w:tc>
          <w:tcPr>
            <w:tcW w:w="7914" w:type="dxa"/>
            <w:gridSpan w:val="4"/>
            <w:tcBorders>
              <w:top w:val="single" w:sz="4" w:space="0" w:color="7F7F7F"/>
              <w:left w:val="nil"/>
              <w:bottom w:val="nil"/>
              <w:right w:val="single" w:sz="4" w:space="0" w:color="7F7F7F"/>
            </w:tcBorders>
            <w:vAlign w:val="center"/>
            <w:hideMark/>
          </w:tcPr>
          <w:p w14:paraId="0F8E186F"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Prof. Asst. Dr. Laura Binxhija</w:t>
            </w:r>
          </w:p>
        </w:tc>
      </w:tr>
      <w:tr w:rsidR="000C27F6" w14:paraId="3A879BB4" w14:textId="77777777" w:rsidTr="000C27F6">
        <w:trPr>
          <w:trHeight w:hRule="exact" w:val="288"/>
        </w:trPr>
        <w:tc>
          <w:tcPr>
            <w:tcW w:w="2274" w:type="dxa"/>
            <w:tcBorders>
              <w:top w:val="nil"/>
              <w:left w:val="single" w:sz="4" w:space="0" w:color="7F7F7F"/>
              <w:bottom w:val="nil"/>
              <w:right w:val="nil"/>
            </w:tcBorders>
            <w:shd w:val="clear" w:color="auto" w:fill="D9E2F3"/>
            <w:vAlign w:val="center"/>
            <w:hideMark/>
          </w:tcPr>
          <w:p w14:paraId="588EA28E"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Course Assistant</w:t>
            </w:r>
          </w:p>
        </w:tc>
        <w:tc>
          <w:tcPr>
            <w:tcW w:w="7914" w:type="dxa"/>
            <w:gridSpan w:val="4"/>
            <w:tcBorders>
              <w:top w:val="nil"/>
              <w:left w:val="nil"/>
              <w:bottom w:val="nil"/>
              <w:right w:val="single" w:sz="4" w:space="0" w:color="7F7F7F"/>
            </w:tcBorders>
            <w:vAlign w:val="center"/>
          </w:tcPr>
          <w:p w14:paraId="72FEF846" w14:textId="77777777" w:rsidR="000C27F6" w:rsidRDefault="000C27F6" w:rsidP="00E433D8">
            <w:pPr>
              <w:spacing w:after="0" w:line="240" w:lineRule="auto"/>
              <w:rPr>
                <w:rFonts w:ascii="Times New Roman" w:eastAsia="Calibri" w:hAnsi="Times New Roman" w:cs="Times New Roman"/>
                <w:sz w:val="20"/>
                <w:szCs w:val="20"/>
              </w:rPr>
            </w:pPr>
          </w:p>
        </w:tc>
      </w:tr>
      <w:tr w:rsidR="000C27F6" w14:paraId="5F651856" w14:textId="77777777" w:rsidTr="000C27F6">
        <w:trPr>
          <w:trHeight w:hRule="exact" w:val="288"/>
        </w:trPr>
        <w:tc>
          <w:tcPr>
            <w:tcW w:w="2274" w:type="dxa"/>
            <w:tcBorders>
              <w:top w:val="nil"/>
              <w:left w:val="single" w:sz="4" w:space="0" w:color="7F7F7F"/>
              <w:bottom w:val="single" w:sz="4" w:space="0" w:color="7F7F7F"/>
              <w:right w:val="nil"/>
            </w:tcBorders>
            <w:shd w:val="clear" w:color="auto" w:fill="D9E2F3"/>
            <w:vAlign w:val="center"/>
            <w:hideMark/>
          </w:tcPr>
          <w:p w14:paraId="7F6D0F0B"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Course Tutor</w:t>
            </w:r>
          </w:p>
        </w:tc>
        <w:tc>
          <w:tcPr>
            <w:tcW w:w="7914" w:type="dxa"/>
            <w:gridSpan w:val="4"/>
            <w:tcBorders>
              <w:top w:val="nil"/>
              <w:left w:val="nil"/>
              <w:bottom w:val="single" w:sz="4" w:space="0" w:color="7F7F7F"/>
              <w:right w:val="single" w:sz="4" w:space="0" w:color="7F7F7F"/>
            </w:tcBorders>
            <w:vAlign w:val="center"/>
          </w:tcPr>
          <w:p w14:paraId="15E72437" w14:textId="77777777" w:rsidR="000C27F6" w:rsidRDefault="000C27F6" w:rsidP="00E433D8">
            <w:pPr>
              <w:spacing w:after="0" w:line="240" w:lineRule="auto"/>
              <w:rPr>
                <w:rFonts w:ascii="Times New Roman" w:eastAsia="Calibri" w:hAnsi="Times New Roman" w:cs="Times New Roman"/>
                <w:sz w:val="20"/>
                <w:szCs w:val="20"/>
              </w:rPr>
            </w:pPr>
          </w:p>
        </w:tc>
      </w:tr>
      <w:tr w:rsidR="000C27F6" w14:paraId="4B55C798" w14:textId="77777777" w:rsidTr="000C27F6">
        <w:tc>
          <w:tcPr>
            <w:tcW w:w="2274" w:type="dxa"/>
            <w:tcBorders>
              <w:top w:val="single" w:sz="4" w:space="0" w:color="7F7F7F"/>
              <w:left w:val="single" w:sz="4" w:space="0" w:color="7F7F7F"/>
              <w:bottom w:val="single" w:sz="4" w:space="0" w:color="7F7F7F"/>
              <w:right w:val="nil"/>
            </w:tcBorders>
            <w:shd w:val="clear" w:color="auto" w:fill="D9E2F3"/>
            <w:vAlign w:val="center"/>
            <w:hideMark/>
          </w:tcPr>
          <w:p w14:paraId="44638A96"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Aims and Objectives</w:t>
            </w:r>
          </w:p>
        </w:tc>
        <w:tc>
          <w:tcPr>
            <w:tcW w:w="7914" w:type="dxa"/>
            <w:gridSpan w:val="4"/>
            <w:tcBorders>
              <w:top w:val="single" w:sz="4" w:space="0" w:color="7F7F7F"/>
              <w:left w:val="nil"/>
              <w:bottom w:val="single" w:sz="4" w:space="0" w:color="7F7F7F"/>
              <w:right w:val="single" w:sz="4" w:space="0" w:color="7F7F7F"/>
            </w:tcBorders>
          </w:tcPr>
          <w:p w14:paraId="39C8732F" w14:textId="77777777" w:rsidR="000C27F6" w:rsidRDefault="000C27F6" w:rsidP="00E433D8">
            <w:pPr>
              <w:spacing w:after="0" w:line="240" w:lineRule="auto"/>
              <w:rPr>
                <w:rFonts w:ascii="Times New Roman" w:eastAsia="Calibri" w:hAnsi="Times New Roman" w:cs="Times New Roman"/>
                <w:sz w:val="20"/>
                <w:szCs w:val="20"/>
              </w:rPr>
            </w:pPr>
          </w:p>
          <w:p w14:paraId="59F7B1FB" w14:textId="77777777" w:rsidR="000C27F6" w:rsidRDefault="000C27F6" w:rsidP="00E433D8">
            <w:pPr>
              <w:spacing w:after="0"/>
              <w:rPr>
                <w:rFonts w:ascii="Times New Roman" w:eastAsia="Calibri" w:hAnsi="Times New Roman" w:cs="Times New Roman"/>
                <w:sz w:val="20"/>
                <w:szCs w:val="20"/>
              </w:rPr>
            </w:pPr>
            <w:r>
              <w:rPr>
                <w:rFonts w:ascii="Times New Roman" w:eastAsia="Calibri" w:hAnsi="Times New Roman" w:cs="Times New Roman"/>
                <w:sz w:val="20"/>
                <w:szCs w:val="20"/>
              </w:rPr>
              <w:t>The subject will offer students’ knowledge on science of nutrition, definitions about food and nutrition, the role of food and nutrients in human nutrition. Macronutritive nutrients (carbohydrates, proteins and fat) division, their role on the human body, digestion, absorption and daily needs.</w:t>
            </w:r>
          </w:p>
          <w:p w14:paraId="0E73D735" w14:textId="77777777" w:rsidR="000C27F6" w:rsidRDefault="000C27F6" w:rsidP="00E433D8">
            <w:pPr>
              <w:spacing w:after="0"/>
              <w:rPr>
                <w:rFonts w:ascii="Times New Roman" w:eastAsia="Calibri" w:hAnsi="Times New Roman" w:cs="Times New Roman"/>
                <w:sz w:val="20"/>
                <w:szCs w:val="20"/>
              </w:rPr>
            </w:pPr>
            <w:r>
              <w:rPr>
                <w:rFonts w:ascii="Times New Roman" w:eastAsia="Calibri" w:hAnsi="Times New Roman" w:cs="Times New Roman"/>
                <w:sz w:val="20"/>
                <w:szCs w:val="20"/>
              </w:rPr>
              <w:t>MIcronutritive nutrients (vitamins and minerals), where you will be introduced to: vitamins that are soluble in water (Vitamin C, B complex and H); vitamins soluble in fats (vitamins A, D, E, K) and mineral matter like: Macroelements (Sodium, Potassium, Calcium, Phosphor, Magnesium, Sulfur), Microelements (Iron, Copper, Zinc, Iodide, Fluoride, Manganese), and trace elements. Food and nutritional values (food with cereals derivative, leguminous, fruits, vegetables, milk, meat, oil-yielding plants etc.)</w:t>
            </w:r>
          </w:p>
          <w:p w14:paraId="0D13CABF" w14:textId="77777777" w:rsidR="000C27F6" w:rsidRDefault="000C27F6" w:rsidP="00E433D8">
            <w:pPr>
              <w:spacing w:after="0"/>
              <w:rPr>
                <w:rFonts w:ascii="Times New Roman" w:eastAsia="Calibri" w:hAnsi="Times New Roman" w:cs="Times New Roman"/>
                <w:sz w:val="20"/>
                <w:szCs w:val="20"/>
              </w:rPr>
            </w:pPr>
            <w:r>
              <w:rPr>
                <w:rFonts w:ascii="Times New Roman" w:eastAsia="Calibri" w:hAnsi="Times New Roman" w:cs="Times New Roman"/>
                <w:sz w:val="20"/>
                <w:szCs w:val="20"/>
              </w:rPr>
              <w:t>Gastrointestinal tract, digestion and absorption of food and fluids. It is important that the students are introduced to the energetically needs of the human organism; basic metabolism. The pyramid of nutrition. Planning of food. Different illnesses that come from food and bad feeding like obesity, anorexia, bulimia. Analysis of nutrition and the valuation of the nutritional condition. From the practical side the students will be introduced to the key methods of the analysis of main nutrients; calculate energetical needs for the base metabolism and daily energetical needs and to planning daily food. To calculate energetical values of foods.</w:t>
            </w:r>
          </w:p>
        </w:tc>
      </w:tr>
      <w:tr w:rsidR="000C27F6" w14:paraId="5844345F" w14:textId="77777777" w:rsidTr="000C27F6">
        <w:tc>
          <w:tcPr>
            <w:tcW w:w="2274" w:type="dxa"/>
            <w:tcBorders>
              <w:top w:val="single" w:sz="4" w:space="0" w:color="7F7F7F"/>
              <w:left w:val="single" w:sz="4" w:space="0" w:color="7F7F7F"/>
              <w:bottom w:val="single" w:sz="4" w:space="0" w:color="7F7F7F"/>
              <w:right w:val="nil"/>
            </w:tcBorders>
            <w:shd w:val="clear" w:color="auto" w:fill="D9E2F3"/>
            <w:vAlign w:val="center"/>
            <w:hideMark/>
          </w:tcPr>
          <w:p w14:paraId="34D6F3A0"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Learning Outcomes</w:t>
            </w:r>
          </w:p>
        </w:tc>
        <w:tc>
          <w:tcPr>
            <w:tcW w:w="7914" w:type="dxa"/>
            <w:gridSpan w:val="4"/>
            <w:tcBorders>
              <w:top w:val="single" w:sz="4" w:space="0" w:color="7F7F7F"/>
              <w:left w:val="nil"/>
              <w:bottom w:val="single" w:sz="4" w:space="0" w:color="7F7F7F"/>
              <w:right w:val="single" w:sz="4" w:space="0" w:color="7F7F7F"/>
            </w:tcBorders>
            <w:hideMark/>
          </w:tcPr>
          <w:p w14:paraId="354D200F" w14:textId="77777777" w:rsidR="000C27F6" w:rsidRDefault="000C27F6" w:rsidP="00E433D8">
            <w:pPr>
              <w:spacing w:before="120" w:after="0"/>
              <w:rPr>
                <w:rFonts w:ascii="Times New Roman" w:eastAsia="Calibri" w:hAnsi="Times New Roman" w:cs="Times New Roman"/>
                <w:sz w:val="20"/>
                <w:szCs w:val="20"/>
              </w:rPr>
            </w:pPr>
            <w:r>
              <w:rPr>
                <w:rFonts w:ascii="Times New Roman" w:eastAsia="Calibri" w:hAnsi="Times New Roman" w:cs="Times New Roman"/>
                <w:sz w:val="20"/>
                <w:szCs w:val="20"/>
              </w:rPr>
              <w:t>With finalization of this subject the students will have skills to know foods and their importance in nutrition based on nutritional values. To know about the importance of nutrients on the human organism. To know about the importance of digestion, absorption and the daily needs of macro nutritive and micro nutritive matter; illnesses and consequences of the lack of macronutrients or taking too much of them (carbohydrates, proteins and fats) and micronutrients (vitamins and minerals).</w:t>
            </w:r>
          </w:p>
          <w:p w14:paraId="6AD3BE9B" w14:textId="77777777" w:rsidR="000C27F6" w:rsidRDefault="000C27F6" w:rsidP="00E433D8">
            <w:pPr>
              <w:spacing w:after="0"/>
              <w:rPr>
                <w:rFonts w:ascii="Times New Roman" w:eastAsia="Calibri" w:hAnsi="Times New Roman" w:cs="Times New Roman"/>
                <w:sz w:val="20"/>
                <w:szCs w:val="20"/>
              </w:rPr>
            </w:pPr>
            <w:r>
              <w:rPr>
                <w:rFonts w:ascii="Times New Roman" w:eastAsia="Calibri" w:hAnsi="Times New Roman" w:cs="Times New Roman"/>
                <w:sz w:val="20"/>
                <w:szCs w:val="20"/>
              </w:rPr>
              <w:t>They will be able to know the gastrointestinal tract and the absorption of food and fluids. They will be able to know the nutritional pyramid of healthy feeding and plan feeding. They will be able to calculate energetical values of foods; calculate energetical needs of the human organism. They will know to detect different illnesses that come from bad feeding; to know different types of allergies that come from food like lactose intolerance, gluten intolerance etc. Also the students will be able to do nutritional analysis and using that to evaluate the condition of nutrition.</w:t>
            </w:r>
          </w:p>
        </w:tc>
      </w:tr>
      <w:tr w:rsidR="000C27F6" w14:paraId="1165B527" w14:textId="77777777" w:rsidTr="000C27F6">
        <w:trPr>
          <w:trHeight w:hRule="exact" w:val="288"/>
        </w:trPr>
        <w:tc>
          <w:tcPr>
            <w:tcW w:w="2274" w:type="dxa"/>
            <w:vMerge w:val="restart"/>
            <w:tcBorders>
              <w:top w:val="single" w:sz="4" w:space="0" w:color="7F7F7F"/>
              <w:left w:val="single" w:sz="4" w:space="0" w:color="7F7F7F"/>
              <w:bottom w:val="nil"/>
              <w:right w:val="nil"/>
            </w:tcBorders>
            <w:shd w:val="clear" w:color="auto" w:fill="D9E2F3"/>
            <w:vAlign w:val="center"/>
            <w:hideMark/>
          </w:tcPr>
          <w:p w14:paraId="4B9A0849"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Course Content</w:t>
            </w:r>
          </w:p>
        </w:tc>
        <w:tc>
          <w:tcPr>
            <w:tcW w:w="5698" w:type="dxa"/>
            <w:gridSpan w:val="3"/>
            <w:tcBorders>
              <w:top w:val="single" w:sz="4" w:space="0" w:color="7F7F7F"/>
              <w:left w:val="nil"/>
              <w:bottom w:val="nil"/>
              <w:right w:val="nil"/>
            </w:tcBorders>
            <w:shd w:val="clear" w:color="auto" w:fill="F2F2F2"/>
            <w:hideMark/>
          </w:tcPr>
          <w:p w14:paraId="6F3CC84F"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Course Plan</w:t>
            </w:r>
          </w:p>
        </w:tc>
        <w:tc>
          <w:tcPr>
            <w:tcW w:w="2216" w:type="dxa"/>
            <w:tcBorders>
              <w:top w:val="single" w:sz="4" w:space="0" w:color="7F7F7F"/>
              <w:left w:val="nil"/>
              <w:bottom w:val="nil"/>
              <w:right w:val="single" w:sz="4" w:space="0" w:color="7F7F7F"/>
            </w:tcBorders>
            <w:shd w:val="clear" w:color="auto" w:fill="F2F2F2"/>
            <w:hideMark/>
          </w:tcPr>
          <w:p w14:paraId="09DD7F34" w14:textId="77777777" w:rsidR="000C27F6" w:rsidRDefault="000C27F6" w:rsidP="00E433D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Week</w:t>
            </w:r>
          </w:p>
        </w:tc>
      </w:tr>
      <w:tr w:rsidR="000C27F6" w14:paraId="504C6054" w14:textId="77777777" w:rsidTr="000C27F6">
        <w:trPr>
          <w:trHeight w:hRule="exact" w:val="288"/>
        </w:trPr>
        <w:tc>
          <w:tcPr>
            <w:tcW w:w="0" w:type="auto"/>
            <w:vMerge/>
            <w:tcBorders>
              <w:top w:val="single" w:sz="4" w:space="0" w:color="7F7F7F"/>
              <w:left w:val="single" w:sz="4" w:space="0" w:color="7F7F7F"/>
              <w:bottom w:val="nil"/>
              <w:right w:val="nil"/>
            </w:tcBorders>
            <w:vAlign w:val="center"/>
            <w:hideMark/>
          </w:tcPr>
          <w:p w14:paraId="05E342AF" w14:textId="77777777" w:rsidR="000C27F6" w:rsidRDefault="000C27F6" w:rsidP="00E433D8">
            <w:pPr>
              <w:spacing w:after="0"/>
              <w:rPr>
                <w:rFonts w:ascii="Times New Roman" w:eastAsia="Calibri" w:hAnsi="Times New Roman" w:cs="Times New Roman"/>
                <w:b/>
                <w:sz w:val="20"/>
                <w:szCs w:val="20"/>
              </w:rPr>
            </w:pPr>
          </w:p>
        </w:tc>
        <w:tc>
          <w:tcPr>
            <w:tcW w:w="5698" w:type="dxa"/>
            <w:gridSpan w:val="3"/>
            <w:tcBorders>
              <w:top w:val="nil"/>
              <w:left w:val="nil"/>
              <w:bottom w:val="nil"/>
              <w:right w:val="nil"/>
            </w:tcBorders>
          </w:tcPr>
          <w:p w14:paraId="7A81D8CF" w14:textId="77777777" w:rsidR="000C27F6" w:rsidRDefault="000C27F6" w:rsidP="00E433D8">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Food and human nutrition (definitions, role and nutritional values)</w:t>
            </w:r>
          </w:p>
          <w:p w14:paraId="626787F7" w14:textId="77777777" w:rsidR="000C27F6" w:rsidRDefault="000C27F6" w:rsidP="00E433D8">
            <w:pPr>
              <w:spacing w:after="0" w:line="240" w:lineRule="auto"/>
              <w:rPr>
                <w:rFonts w:ascii="Times New Roman" w:eastAsia="Calibri" w:hAnsi="Times New Roman" w:cs="Times New Roman"/>
                <w:sz w:val="20"/>
                <w:szCs w:val="20"/>
              </w:rPr>
            </w:pPr>
          </w:p>
        </w:tc>
        <w:tc>
          <w:tcPr>
            <w:tcW w:w="2216" w:type="dxa"/>
            <w:tcBorders>
              <w:top w:val="nil"/>
              <w:left w:val="nil"/>
              <w:bottom w:val="nil"/>
              <w:right w:val="single" w:sz="4" w:space="0" w:color="7F7F7F"/>
            </w:tcBorders>
            <w:hideMark/>
          </w:tcPr>
          <w:p w14:paraId="38D7F7DB"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0C27F6" w14:paraId="62C2CD15" w14:textId="77777777" w:rsidTr="000C27F6">
        <w:trPr>
          <w:trHeight w:hRule="exact" w:val="288"/>
        </w:trPr>
        <w:tc>
          <w:tcPr>
            <w:tcW w:w="0" w:type="auto"/>
            <w:vMerge/>
            <w:tcBorders>
              <w:top w:val="single" w:sz="4" w:space="0" w:color="7F7F7F"/>
              <w:left w:val="single" w:sz="4" w:space="0" w:color="7F7F7F"/>
              <w:bottom w:val="nil"/>
              <w:right w:val="nil"/>
            </w:tcBorders>
            <w:vAlign w:val="center"/>
            <w:hideMark/>
          </w:tcPr>
          <w:p w14:paraId="1D185334" w14:textId="77777777" w:rsidR="000C27F6" w:rsidRDefault="000C27F6" w:rsidP="00E433D8">
            <w:pPr>
              <w:spacing w:after="0"/>
              <w:rPr>
                <w:rFonts w:ascii="Times New Roman" w:eastAsia="Calibri" w:hAnsi="Times New Roman" w:cs="Times New Roman"/>
                <w:b/>
                <w:sz w:val="20"/>
                <w:szCs w:val="20"/>
              </w:rPr>
            </w:pPr>
          </w:p>
        </w:tc>
        <w:tc>
          <w:tcPr>
            <w:tcW w:w="5698" w:type="dxa"/>
            <w:gridSpan w:val="3"/>
            <w:tcBorders>
              <w:top w:val="nil"/>
              <w:left w:val="nil"/>
              <w:bottom w:val="nil"/>
              <w:right w:val="nil"/>
            </w:tcBorders>
            <w:hideMark/>
          </w:tcPr>
          <w:p w14:paraId="493CBFD1"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Macronutrients (carbohydrates, protein, fats)</w:t>
            </w:r>
          </w:p>
        </w:tc>
        <w:tc>
          <w:tcPr>
            <w:tcW w:w="2216" w:type="dxa"/>
            <w:tcBorders>
              <w:top w:val="nil"/>
              <w:left w:val="nil"/>
              <w:bottom w:val="nil"/>
              <w:right w:val="single" w:sz="4" w:space="0" w:color="7F7F7F"/>
            </w:tcBorders>
            <w:hideMark/>
          </w:tcPr>
          <w:p w14:paraId="3A978B2B"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0C27F6" w14:paraId="228E84F3" w14:textId="77777777" w:rsidTr="000C27F6">
        <w:trPr>
          <w:trHeight w:hRule="exact" w:val="288"/>
        </w:trPr>
        <w:tc>
          <w:tcPr>
            <w:tcW w:w="0" w:type="auto"/>
            <w:vMerge/>
            <w:tcBorders>
              <w:top w:val="single" w:sz="4" w:space="0" w:color="7F7F7F"/>
              <w:left w:val="single" w:sz="4" w:space="0" w:color="7F7F7F"/>
              <w:bottom w:val="nil"/>
              <w:right w:val="nil"/>
            </w:tcBorders>
            <w:vAlign w:val="center"/>
            <w:hideMark/>
          </w:tcPr>
          <w:p w14:paraId="66427E03" w14:textId="77777777" w:rsidR="000C27F6" w:rsidRDefault="000C27F6" w:rsidP="00E433D8">
            <w:pPr>
              <w:spacing w:after="0"/>
              <w:rPr>
                <w:rFonts w:ascii="Times New Roman" w:eastAsia="Calibri" w:hAnsi="Times New Roman" w:cs="Times New Roman"/>
                <w:b/>
                <w:sz w:val="20"/>
                <w:szCs w:val="20"/>
              </w:rPr>
            </w:pPr>
          </w:p>
        </w:tc>
        <w:tc>
          <w:tcPr>
            <w:tcW w:w="5698" w:type="dxa"/>
            <w:gridSpan w:val="3"/>
            <w:tcBorders>
              <w:top w:val="nil"/>
              <w:left w:val="nil"/>
              <w:bottom w:val="nil"/>
              <w:right w:val="nil"/>
            </w:tcBorders>
            <w:hideMark/>
          </w:tcPr>
          <w:p w14:paraId="1FE91BB3"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Micronutrients(water soluble vitamins)</w:t>
            </w:r>
          </w:p>
        </w:tc>
        <w:tc>
          <w:tcPr>
            <w:tcW w:w="2216" w:type="dxa"/>
            <w:tcBorders>
              <w:top w:val="nil"/>
              <w:left w:val="nil"/>
              <w:bottom w:val="nil"/>
              <w:right w:val="single" w:sz="4" w:space="0" w:color="7F7F7F"/>
            </w:tcBorders>
            <w:hideMark/>
          </w:tcPr>
          <w:p w14:paraId="4CD85700"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0C27F6" w14:paraId="6719138F" w14:textId="77777777" w:rsidTr="000C27F6">
        <w:trPr>
          <w:trHeight w:hRule="exact" w:val="288"/>
        </w:trPr>
        <w:tc>
          <w:tcPr>
            <w:tcW w:w="0" w:type="auto"/>
            <w:vMerge/>
            <w:tcBorders>
              <w:top w:val="single" w:sz="4" w:space="0" w:color="7F7F7F"/>
              <w:left w:val="single" w:sz="4" w:space="0" w:color="7F7F7F"/>
              <w:bottom w:val="nil"/>
              <w:right w:val="nil"/>
            </w:tcBorders>
            <w:vAlign w:val="center"/>
            <w:hideMark/>
          </w:tcPr>
          <w:p w14:paraId="508F31F9" w14:textId="77777777" w:rsidR="000C27F6" w:rsidRDefault="000C27F6" w:rsidP="00E433D8">
            <w:pPr>
              <w:spacing w:after="0"/>
              <w:rPr>
                <w:rFonts w:ascii="Times New Roman" w:eastAsia="Calibri" w:hAnsi="Times New Roman" w:cs="Times New Roman"/>
                <w:b/>
                <w:sz w:val="20"/>
                <w:szCs w:val="20"/>
              </w:rPr>
            </w:pPr>
          </w:p>
        </w:tc>
        <w:tc>
          <w:tcPr>
            <w:tcW w:w="5698" w:type="dxa"/>
            <w:gridSpan w:val="3"/>
            <w:tcBorders>
              <w:top w:val="nil"/>
              <w:left w:val="nil"/>
              <w:bottom w:val="nil"/>
              <w:right w:val="nil"/>
            </w:tcBorders>
            <w:hideMark/>
          </w:tcPr>
          <w:p w14:paraId="207CF32D"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Micronutrients(Fat soluble vitamins)</w:t>
            </w:r>
          </w:p>
        </w:tc>
        <w:tc>
          <w:tcPr>
            <w:tcW w:w="2216" w:type="dxa"/>
            <w:tcBorders>
              <w:top w:val="nil"/>
              <w:left w:val="nil"/>
              <w:bottom w:val="nil"/>
              <w:right w:val="single" w:sz="4" w:space="0" w:color="7F7F7F"/>
            </w:tcBorders>
            <w:hideMark/>
          </w:tcPr>
          <w:p w14:paraId="7489D764"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0C27F6" w14:paraId="00944695" w14:textId="77777777" w:rsidTr="000C27F6">
        <w:trPr>
          <w:trHeight w:hRule="exact" w:val="536"/>
        </w:trPr>
        <w:tc>
          <w:tcPr>
            <w:tcW w:w="0" w:type="auto"/>
            <w:vMerge/>
            <w:tcBorders>
              <w:top w:val="single" w:sz="4" w:space="0" w:color="7F7F7F"/>
              <w:left w:val="single" w:sz="4" w:space="0" w:color="7F7F7F"/>
              <w:bottom w:val="nil"/>
              <w:right w:val="nil"/>
            </w:tcBorders>
            <w:vAlign w:val="center"/>
            <w:hideMark/>
          </w:tcPr>
          <w:p w14:paraId="48103515" w14:textId="77777777" w:rsidR="000C27F6" w:rsidRDefault="000C27F6" w:rsidP="00E433D8">
            <w:pPr>
              <w:spacing w:after="0"/>
              <w:rPr>
                <w:rFonts w:ascii="Times New Roman" w:eastAsia="Calibri" w:hAnsi="Times New Roman" w:cs="Times New Roman"/>
                <w:b/>
                <w:sz w:val="20"/>
                <w:szCs w:val="20"/>
              </w:rPr>
            </w:pPr>
          </w:p>
        </w:tc>
        <w:tc>
          <w:tcPr>
            <w:tcW w:w="5698" w:type="dxa"/>
            <w:gridSpan w:val="3"/>
            <w:tcBorders>
              <w:top w:val="nil"/>
              <w:left w:val="nil"/>
              <w:bottom w:val="nil"/>
              <w:right w:val="nil"/>
            </w:tcBorders>
            <w:hideMark/>
          </w:tcPr>
          <w:p w14:paraId="30D14231"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Minerals (Macroelements, Microelements and Trace elements)</w:t>
            </w:r>
          </w:p>
        </w:tc>
        <w:tc>
          <w:tcPr>
            <w:tcW w:w="2216" w:type="dxa"/>
            <w:tcBorders>
              <w:top w:val="nil"/>
              <w:left w:val="nil"/>
              <w:bottom w:val="nil"/>
              <w:right w:val="single" w:sz="4" w:space="0" w:color="7F7F7F"/>
            </w:tcBorders>
            <w:hideMark/>
          </w:tcPr>
          <w:p w14:paraId="66E52A4A"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0C27F6" w14:paraId="5CA39FE1" w14:textId="77777777" w:rsidTr="000C27F6">
        <w:trPr>
          <w:trHeight w:hRule="exact" w:val="905"/>
        </w:trPr>
        <w:tc>
          <w:tcPr>
            <w:tcW w:w="0" w:type="auto"/>
            <w:vMerge/>
            <w:tcBorders>
              <w:top w:val="single" w:sz="4" w:space="0" w:color="7F7F7F"/>
              <w:left w:val="single" w:sz="4" w:space="0" w:color="7F7F7F"/>
              <w:bottom w:val="nil"/>
              <w:right w:val="nil"/>
            </w:tcBorders>
            <w:vAlign w:val="center"/>
            <w:hideMark/>
          </w:tcPr>
          <w:p w14:paraId="5364729B" w14:textId="77777777" w:rsidR="000C27F6" w:rsidRDefault="000C27F6" w:rsidP="00E433D8">
            <w:pPr>
              <w:spacing w:after="0"/>
              <w:rPr>
                <w:rFonts w:ascii="Times New Roman" w:eastAsia="Calibri" w:hAnsi="Times New Roman" w:cs="Times New Roman"/>
                <w:b/>
                <w:sz w:val="20"/>
                <w:szCs w:val="20"/>
              </w:rPr>
            </w:pPr>
          </w:p>
        </w:tc>
        <w:tc>
          <w:tcPr>
            <w:tcW w:w="5698" w:type="dxa"/>
            <w:gridSpan w:val="3"/>
            <w:tcBorders>
              <w:top w:val="nil"/>
              <w:left w:val="nil"/>
              <w:bottom w:val="nil"/>
              <w:right w:val="nil"/>
            </w:tcBorders>
          </w:tcPr>
          <w:p w14:paraId="4F8D9227"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Food and food nutritive values</w:t>
            </w:r>
          </w:p>
          <w:p w14:paraId="052CD26A"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Colocvium  I</w:t>
            </w:r>
          </w:p>
          <w:p w14:paraId="2390E3BB" w14:textId="77777777" w:rsidR="000C27F6" w:rsidRDefault="000C27F6" w:rsidP="00E433D8">
            <w:pPr>
              <w:spacing w:after="0" w:line="240" w:lineRule="auto"/>
              <w:rPr>
                <w:rFonts w:ascii="Times New Roman" w:eastAsia="Calibri" w:hAnsi="Times New Roman" w:cs="Times New Roman"/>
                <w:sz w:val="20"/>
                <w:szCs w:val="20"/>
              </w:rPr>
            </w:pPr>
          </w:p>
          <w:p w14:paraId="087D51C2" w14:textId="77777777" w:rsidR="000C27F6" w:rsidRDefault="000C27F6" w:rsidP="00E433D8">
            <w:pPr>
              <w:spacing w:after="0" w:line="240" w:lineRule="auto"/>
              <w:rPr>
                <w:rFonts w:ascii="Times New Roman" w:eastAsia="Calibri" w:hAnsi="Times New Roman" w:cs="Times New Roman"/>
                <w:sz w:val="20"/>
                <w:szCs w:val="20"/>
              </w:rPr>
            </w:pPr>
          </w:p>
        </w:tc>
        <w:tc>
          <w:tcPr>
            <w:tcW w:w="2216" w:type="dxa"/>
            <w:tcBorders>
              <w:top w:val="nil"/>
              <w:left w:val="nil"/>
              <w:bottom w:val="nil"/>
              <w:right w:val="single" w:sz="4" w:space="0" w:color="7F7F7F"/>
            </w:tcBorders>
            <w:hideMark/>
          </w:tcPr>
          <w:p w14:paraId="4AB62444"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p w14:paraId="489A25A9"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0C27F6" w14:paraId="2DE523CD" w14:textId="77777777" w:rsidTr="000C27F6">
        <w:trPr>
          <w:trHeight w:hRule="exact" w:val="806"/>
        </w:trPr>
        <w:tc>
          <w:tcPr>
            <w:tcW w:w="0" w:type="auto"/>
            <w:vMerge/>
            <w:tcBorders>
              <w:top w:val="single" w:sz="4" w:space="0" w:color="7F7F7F"/>
              <w:left w:val="single" w:sz="4" w:space="0" w:color="7F7F7F"/>
              <w:bottom w:val="nil"/>
              <w:right w:val="nil"/>
            </w:tcBorders>
            <w:vAlign w:val="center"/>
            <w:hideMark/>
          </w:tcPr>
          <w:p w14:paraId="0C3972A1" w14:textId="77777777" w:rsidR="000C27F6" w:rsidRDefault="000C27F6" w:rsidP="00E433D8">
            <w:pPr>
              <w:spacing w:after="0"/>
              <w:rPr>
                <w:rFonts w:ascii="Times New Roman" w:eastAsia="Calibri" w:hAnsi="Times New Roman" w:cs="Times New Roman"/>
                <w:b/>
                <w:sz w:val="20"/>
                <w:szCs w:val="20"/>
              </w:rPr>
            </w:pPr>
          </w:p>
        </w:tc>
        <w:tc>
          <w:tcPr>
            <w:tcW w:w="5698" w:type="dxa"/>
            <w:gridSpan w:val="3"/>
            <w:tcBorders>
              <w:top w:val="nil"/>
              <w:left w:val="nil"/>
              <w:bottom w:val="nil"/>
              <w:right w:val="nil"/>
            </w:tcBorders>
            <w:hideMark/>
          </w:tcPr>
          <w:p w14:paraId="12EF2F95"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Gastrointestinal tract, digestion and absorption of food and fluids.</w:t>
            </w:r>
          </w:p>
        </w:tc>
        <w:tc>
          <w:tcPr>
            <w:tcW w:w="2216" w:type="dxa"/>
            <w:tcBorders>
              <w:top w:val="nil"/>
              <w:left w:val="nil"/>
              <w:bottom w:val="nil"/>
              <w:right w:val="single" w:sz="4" w:space="0" w:color="7F7F7F"/>
            </w:tcBorders>
            <w:hideMark/>
          </w:tcPr>
          <w:p w14:paraId="7D01173B"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8</w:t>
            </w:r>
          </w:p>
        </w:tc>
      </w:tr>
      <w:tr w:rsidR="000C27F6" w14:paraId="010EA1CE" w14:textId="77777777" w:rsidTr="000C27F6">
        <w:trPr>
          <w:trHeight w:hRule="exact" w:val="455"/>
        </w:trPr>
        <w:tc>
          <w:tcPr>
            <w:tcW w:w="2274" w:type="dxa"/>
            <w:vMerge w:val="restart"/>
            <w:tcBorders>
              <w:top w:val="nil"/>
              <w:left w:val="single" w:sz="4" w:space="0" w:color="7F7F7F"/>
              <w:bottom w:val="nil"/>
              <w:right w:val="nil"/>
            </w:tcBorders>
            <w:shd w:val="clear" w:color="auto" w:fill="D9E2F3"/>
            <w:vAlign w:val="center"/>
          </w:tcPr>
          <w:p w14:paraId="4A9B4291" w14:textId="77777777" w:rsidR="000C27F6" w:rsidRDefault="000C27F6" w:rsidP="00E433D8">
            <w:pPr>
              <w:spacing w:after="0" w:line="240" w:lineRule="auto"/>
              <w:jc w:val="center"/>
              <w:rPr>
                <w:rFonts w:ascii="Times New Roman" w:eastAsia="Calibri" w:hAnsi="Times New Roman" w:cs="Times New Roman"/>
                <w:sz w:val="20"/>
                <w:szCs w:val="20"/>
              </w:rPr>
            </w:pPr>
          </w:p>
        </w:tc>
        <w:tc>
          <w:tcPr>
            <w:tcW w:w="5698" w:type="dxa"/>
            <w:gridSpan w:val="3"/>
            <w:tcBorders>
              <w:top w:val="nil"/>
              <w:left w:val="nil"/>
              <w:bottom w:val="nil"/>
              <w:right w:val="nil"/>
            </w:tcBorders>
          </w:tcPr>
          <w:p w14:paraId="41559F60" w14:textId="77777777" w:rsidR="000C27F6" w:rsidRDefault="000C27F6" w:rsidP="00E43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Calibri" w:hAnsi="Times New Roman" w:cs="Times New Roman"/>
                <w:sz w:val="20"/>
                <w:szCs w:val="20"/>
              </w:rPr>
              <w:t>Energetical needs of the human organism and calculation of them</w:t>
            </w:r>
          </w:p>
          <w:p w14:paraId="0CCFF288" w14:textId="77777777" w:rsidR="000C27F6" w:rsidRDefault="000C27F6" w:rsidP="00E433D8">
            <w:pPr>
              <w:spacing w:after="0" w:line="240" w:lineRule="auto"/>
              <w:rPr>
                <w:rFonts w:ascii="Times New Roman" w:eastAsia="Calibri" w:hAnsi="Times New Roman" w:cs="Times New Roman"/>
                <w:sz w:val="20"/>
                <w:szCs w:val="20"/>
              </w:rPr>
            </w:pPr>
          </w:p>
        </w:tc>
        <w:tc>
          <w:tcPr>
            <w:tcW w:w="2216" w:type="dxa"/>
            <w:tcBorders>
              <w:top w:val="nil"/>
              <w:left w:val="nil"/>
              <w:bottom w:val="nil"/>
              <w:right w:val="single" w:sz="4" w:space="0" w:color="7F7F7F"/>
            </w:tcBorders>
            <w:hideMark/>
          </w:tcPr>
          <w:p w14:paraId="2097F7EA"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0C27F6" w14:paraId="7D6FD214" w14:textId="77777777" w:rsidTr="000C27F6">
        <w:trPr>
          <w:trHeight w:hRule="exact" w:val="288"/>
        </w:trPr>
        <w:tc>
          <w:tcPr>
            <w:tcW w:w="0" w:type="auto"/>
            <w:vMerge/>
            <w:tcBorders>
              <w:top w:val="nil"/>
              <w:left w:val="single" w:sz="4" w:space="0" w:color="7F7F7F"/>
              <w:bottom w:val="nil"/>
              <w:right w:val="nil"/>
            </w:tcBorders>
            <w:vAlign w:val="center"/>
            <w:hideMark/>
          </w:tcPr>
          <w:p w14:paraId="29620E7D" w14:textId="77777777" w:rsidR="000C27F6" w:rsidRDefault="000C27F6" w:rsidP="00E433D8">
            <w:pPr>
              <w:spacing w:after="0"/>
              <w:rPr>
                <w:rFonts w:ascii="Times New Roman" w:eastAsia="Calibri" w:hAnsi="Times New Roman" w:cs="Times New Roman"/>
                <w:sz w:val="20"/>
                <w:szCs w:val="20"/>
              </w:rPr>
            </w:pPr>
          </w:p>
        </w:tc>
        <w:tc>
          <w:tcPr>
            <w:tcW w:w="5698" w:type="dxa"/>
            <w:gridSpan w:val="3"/>
            <w:tcBorders>
              <w:top w:val="nil"/>
              <w:left w:val="nil"/>
              <w:bottom w:val="nil"/>
              <w:right w:val="nil"/>
            </w:tcBorders>
            <w:hideMark/>
          </w:tcPr>
          <w:p w14:paraId="31D2A329"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Study visiting</w:t>
            </w:r>
          </w:p>
        </w:tc>
        <w:tc>
          <w:tcPr>
            <w:tcW w:w="2216" w:type="dxa"/>
            <w:tcBorders>
              <w:top w:val="nil"/>
              <w:left w:val="nil"/>
              <w:bottom w:val="nil"/>
              <w:right w:val="single" w:sz="4" w:space="0" w:color="7F7F7F"/>
            </w:tcBorders>
            <w:hideMark/>
          </w:tcPr>
          <w:p w14:paraId="78CA2163"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0C27F6" w14:paraId="5C92B125" w14:textId="77777777" w:rsidTr="000C27F6">
        <w:trPr>
          <w:trHeight w:hRule="exact" w:val="288"/>
        </w:trPr>
        <w:tc>
          <w:tcPr>
            <w:tcW w:w="0" w:type="auto"/>
            <w:vMerge/>
            <w:tcBorders>
              <w:top w:val="nil"/>
              <w:left w:val="single" w:sz="4" w:space="0" w:color="7F7F7F"/>
              <w:bottom w:val="nil"/>
              <w:right w:val="nil"/>
            </w:tcBorders>
            <w:vAlign w:val="center"/>
            <w:hideMark/>
          </w:tcPr>
          <w:p w14:paraId="45DB3C48" w14:textId="77777777" w:rsidR="000C27F6" w:rsidRDefault="000C27F6" w:rsidP="00E433D8">
            <w:pPr>
              <w:spacing w:after="0"/>
              <w:rPr>
                <w:rFonts w:ascii="Times New Roman" w:eastAsia="Calibri" w:hAnsi="Times New Roman" w:cs="Times New Roman"/>
                <w:sz w:val="20"/>
                <w:szCs w:val="20"/>
              </w:rPr>
            </w:pPr>
          </w:p>
        </w:tc>
        <w:tc>
          <w:tcPr>
            <w:tcW w:w="5698" w:type="dxa"/>
            <w:gridSpan w:val="3"/>
            <w:tcBorders>
              <w:top w:val="nil"/>
              <w:left w:val="nil"/>
              <w:bottom w:val="nil"/>
              <w:right w:val="nil"/>
            </w:tcBorders>
            <w:hideMark/>
          </w:tcPr>
          <w:p w14:paraId="06A4691B"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The nutritional pyramid of healthy feeding and planning of food</w:t>
            </w:r>
          </w:p>
        </w:tc>
        <w:tc>
          <w:tcPr>
            <w:tcW w:w="2216" w:type="dxa"/>
            <w:tcBorders>
              <w:top w:val="nil"/>
              <w:left w:val="nil"/>
              <w:bottom w:val="nil"/>
              <w:right w:val="single" w:sz="4" w:space="0" w:color="7F7F7F"/>
            </w:tcBorders>
            <w:hideMark/>
          </w:tcPr>
          <w:p w14:paraId="6C60E734"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r>
      <w:tr w:rsidR="000C27F6" w14:paraId="18338125" w14:textId="77777777" w:rsidTr="000C27F6">
        <w:trPr>
          <w:trHeight w:hRule="exact" w:val="288"/>
        </w:trPr>
        <w:tc>
          <w:tcPr>
            <w:tcW w:w="0" w:type="auto"/>
            <w:vMerge/>
            <w:tcBorders>
              <w:top w:val="nil"/>
              <w:left w:val="single" w:sz="4" w:space="0" w:color="7F7F7F"/>
              <w:bottom w:val="nil"/>
              <w:right w:val="nil"/>
            </w:tcBorders>
            <w:vAlign w:val="center"/>
            <w:hideMark/>
          </w:tcPr>
          <w:p w14:paraId="02A2D101" w14:textId="77777777" w:rsidR="000C27F6" w:rsidRDefault="000C27F6" w:rsidP="00E433D8">
            <w:pPr>
              <w:spacing w:after="0"/>
              <w:rPr>
                <w:rFonts w:ascii="Times New Roman" w:eastAsia="Calibri" w:hAnsi="Times New Roman" w:cs="Times New Roman"/>
                <w:sz w:val="20"/>
                <w:szCs w:val="20"/>
              </w:rPr>
            </w:pPr>
          </w:p>
        </w:tc>
        <w:tc>
          <w:tcPr>
            <w:tcW w:w="5698" w:type="dxa"/>
            <w:gridSpan w:val="3"/>
            <w:tcBorders>
              <w:top w:val="nil"/>
              <w:left w:val="nil"/>
              <w:bottom w:val="nil"/>
              <w:right w:val="nil"/>
            </w:tcBorders>
            <w:hideMark/>
          </w:tcPr>
          <w:p w14:paraId="3B38D0CE"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Illnesses that come from feeding and bad feeding</w:t>
            </w:r>
          </w:p>
        </w:tc>
        <w:tc>
          <w:tcPr>
            <w:tcW w:w="2216" w:type="dxa"/>
            <w:tcBorders>
              <w:top w:val="nil"/>
              <w:left w:val="nil"/>
              <w:bottom w:val="nil"/>
              <w:right w:val="single" w:sz="4" w:space="0" w:color="7F7F7F"/>
            </w:tcBorders>
            <w:hideMark/>
          </w:tcPr>
          <w:p w14:paraId="0DAF4695"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r>
      <w:tr w:rsidR="000C27F6" w14:paraId="5CF6DFF3" w14:textId="77777777" w:rsidTr="000C27F6">
        <w:trPr>
          <w:trHeight w:hRule="exact" w:val="1148"/>
        </w:trPr>
        <w:tc>
          <w:tcPr>
            <w:tcW w:w="0" w:type="auto"/>
            <w:vMerge/>
            <w:tcBorders>
              <w:top w:val="nil"/>
              <w:left w:val="single" w:sz="4" w:space="0" w:color="7F7F7F"/>
              <w:bottom w:val="nil"/>
              <w:right w:val="nil"/>
            </w:tcBorders>
            <w:vAlign w:val="center"/>
            <w:hideMark/>
          </w:tcPr>
          <w:p w14:paraId="0AEE3911" w14:textId="77777777" w:rsidR="000C27F6" w:rsidRDefault="000C27F6" w:rsidP="00E433D8">
            <w:pPr>
              <w:spacing w:after="0"/>
              <w:rPr>
                <w:rFonts w:ascii="Times New Roman" w:eastAsia="Calibri" w:hAnsi="Times New Roman" w:cs="Times New Roman"/>
                <w:sz w:val="20"/>
                <w:szCs w:val="20"/>
              </w:rPr>
            </w:pPr>
          </w:p>
        </w:tc>
        <w:tc>
          <w:tcPr>
            <w:tcW w:w="5698" w:type="dxa"/>
            <w:gridSpan w:val="3"/>
            <w:tcBorders>
              <w:top w:val="nil"/>
              <w:left w:val="nil"/>
              <w:bottom w:val="nil"/>
              <w:right w:val="nil"/>
            </w:tcBorders>
            <w:hideMark/>
          </w:tcPr>
          <w:p w14:paraId="701005BC"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Analysis of nutrition and the valuation of the nutritional condition</w:t>
            </w:r>
          </w:p>
          <w:p w14:paraId="31B8DEDB"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Colocvium  II</w:t>
            </w:r>
          </w:p>
        </w:tc>
        <w:tc>
          <w:tcPr>
            <w:tcW w:w="2216" w:type="dxa"/>
            <w:tcBorders>
              <w:top w:val="nil"/>
              <w:left w:val="nil"/>
              <w:bottom w:val="nil"/>
              <w:right w:val="single" w:sz="4" w:space="0" w:color="7F7F7F"/>
            </w:tcBorders>
            <w:hideMark/>
          </w:tcPr>
          <w:p w14:paraId="1C4A3E38"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p w14:paraId="6741A8D5" w14:textId="77777777" w:rsidR="000C27F6" w:rsidRDefault="000C27F6" w:rsidP="00E433D8">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r>
      <w:tr w:rsidR="000C27F6" w14:paraId="4E75B3D1" w14:textId="77777777" w:rsidTr="000C27F6">
        <w:trPr>
          <w:trHeight w:hRule="exact" w:val="536"/>
        </w:trPr>
        <w:tc>
          <w:tcPr>
            <w:tcW w:w="0" w:type="auto"/>
            <w:vMerge/>
            <w:tcBorders>
              <w:top w:val="nil"/>
              <w:left w:val="single" w:sz="4" w:space="0" w:color="7F7F7F"/>
              <w:bottom w:val="nil"/>
              <w:right w:val="nil"/>
            </w:tcBorders>
            <w:vAlign w:val="center"/>
            <w:hideMark/>
          </w:tcPr>
          <w:p w14:paraId="05FA4EB0" w14:textId="77777777" w:rsidR="000C27F6" w:rsidRDefault="000C27F6" w:rsidP="00E433D8">
            <w:pPr>
              <w:spacing w:after="0"/>
              <w:rPr>
                <w:rFonts w:ascii="Times New Roman" w:eastAsia="Calibri" w:hAnsi="Times New Roman" w:cs="Times New Roman"/>
                <w:sz w:val="20"/>
                <w:szCs w:val="20"/>
              </w:rPr>
            </w:pPr>
          </w:p>
        </w:tc>
        <w:tc>
          <w:tcPr>
            <w:tcW w:w="5698" w:type="dxa"/>
            <w:gridSpan w:val="3"/>
            <w:tcBorders>
              <w:top w:val="nil"/>
              <w:left w:val="nil"/>
              <w:bottom w:val="nil"/>
              <w:right w:val="nil"/>
            </w:tcBorders>
            <w:hideMark/>
          </w:tcPr>
          <w:p w14:paraId="6EA96E81"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Final exam</w:t>
            </w:r>
          </w:p>
        </w:tc>
        <w:tc>
          <w:tcPr>
            <w:tcW w:w="2216" w:type="dxa"/>
            <w:tcBorders>
              <w:top w:val="nil"/>
              <w:left w:val="nil"/>
              <w:bottom w:val="nil"/>
              <w:right w:val="single" w:sz="4" w:space="0" w:color="7F7F7F"/>
            </w:tcBorders>
            <w:hideMark/>
          </w:tcPr>
          <w:p w14:paraId="75015062" w14:textId="77777777" w:rsidR="000C27F6" w:rsidRDefault="000C27F6" w:rsidP="00E433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r>
      <w:tr w:rsidR="000C27F6" w14:paraId="52F52B1B" w14:textId="77777777" w:rsidTr="000C27F6">
        <w:tc>
          <w:tcPr>
            <w:tcW w:w="2274" w:type="dxa"/>
            <w:tcBorders>
              <w:top w:val="single" w:sz="4" w:space="0" w:color="7F7F7F"/>
              <w:left w:val="single" w:sz="4" w:space="0" w:color="7F7F7F"/>
              <w:bottom w:val="single" w:sz="4" w:space="0" w:color="7F7F7F"/>
              <w:right w:val="nil"/>
            </w:tcBorders>
            <w:shd w:val="clear" w:color="auto" w:fill="D9E2F3"/>
            <w:vAlign w:val="center"/>
            <w:hideMark/>
          </w:tcPr>
          <w:p w14:paraId="14802847"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Literature/References</w:t>
            </w:r>
          </w:p>
        </w:tc>
        <w:tc>
          <w:tcPr>
            <w:tcW w:w="7914" w:type="dxa"/>
            <w:gridSpan w:val="4"/>
            <w:tcBorders>
              <w:top w:val="single" w:sz="4" w:space="0" w:color="7F7F7F"/>
              <w:left w:val="nil"/>
              <w:bottom w:val="single" w:sz="4" w:space="0" w:color="7F7F7F"/>
              <w:right w:val="single" w:sz="4" w:space="0" w:color="7F7F7F"/>
            </w:tcBorders>
            <w:hideMark/>
          </w:tcPr>
          <w:p w14:paraId="1395ECFC" w14:textId="77777777" w:rsidR="000C27F6" w:rsidRDefault="000C27F6" w:rsidP="00E433D8">
            <w:pPr>
              <w:numPr>
                <w:ilvl w:val="0"/>
                <w:numId w:val="1"/>
              </w:num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Internal Script</w:t>
            </w:r>
          </w:p>
          <w:p w14:paraId="79B13412" w14:textId="77777777" w:rsidR="000C27F6" w:rsidRDefault="000C27F6" w:rsidP="00E433D8">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FranklinGotITCM-Book" w:hAnsi="Times New Roman" w:cs="Times New Roman"/>
                <w:sz w:val="20"/>
                <w:szCs w:val="20"/>
              </w:rPr>
              <w:t>Xoxa A., 1995, Dritëhijet e ushqimit, Shtëpia botuese enciklopedike, Tiranë.1995.</w:t>
            </w:r>
          </w:p>
          <w:p w14:paraId="1E277D0B" w14:textId="77777777" w:rsidR="000C27F6" w:rsidRDefault="000C27F6" w:rsidP="00E433D8">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Mandic M., Znanost o Prehrani (Hrana i prehrana u cuvanju zdravlja), Sveucilište J.J.Strossmayera u Osijeku, Prehrambeno tehnološki fakultet, Osijek, 2007. </w:t>
            </w:r>
          </w:p>
          <w:p w14:paraId="6BF4D50D" w14:textId="77777777" w:rsidR="000C27F6" w:rsidRDefault="000C27F6" w:rsidP="00E433D8">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Vildana Alibabić ● Ibrahim Mujić, Pravilna Prehrana i Zdravlje, Veleučilište u Rijeci. Rijeka, 2016. </w:t>
            </w:r>
          </w:p>
          <w:p w14:paraId="2A9E4D8F" w14:textId="77777777" w:rsidR="000C27F6" w:rsidRDefault="000C27F6" w:rsidP="00E433D8">
            <w:pPr>
              <w:numPr>
                <w:ilvl w:val="0"/>
                <w:numId w:val="1"/>
              </w:num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C.D.Berdanier, JDwyer, E.B.Feldman,Handbook of Nutrition and Food, Secon edition, CRC Press, 2008.</w:t>
            </w:r>
          </w:p>
          <w:p w14:paraId="161227EA" w14:textId="77777777" w:rsidR="000C27F6" w:rsidRDefault="000C27F6" w:rsidP="00E433D8">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Froleke H.,2007:,Tabela e vlerave ushqyese e Asocicionit Gjerman për të Ushqyerit Themeluar nga Prof.Dr.Wirths (1923-1999), Botimi i 43. Gjermanisht, i ripunuar dhe i aktualizuar. Botimi i parë në gjuhën shqipe, Alb-med.</w:t>
            </w:r>
          </w:p>
          <w:p w14:paraId="519201FD" w14:textId="77777777" w:rsidR="000C27F6" w:rsidRDefault="000C27F6" w:rsidP="00E433D8">
            <w:pPr>
              <w:numPr>
                <w:ilvl w:val="0"/>
                <w:numId w:val="1"/>
              </w:numPr>
              <w:spacing w:after="0" w:line="276" w:lineRule="auto"/>
              <w:jc w:val="both"/>
              <w:rPr>
                <w:rFonts w:ascii="Times New Roman" w:eastAsia="Calibri" w:hAnsi="Times New Roman" w:cs="Times New Roman"/>
                <w:sz w:val="20"/>
                <w:szCs w:val="20"/>
              </w:rPr>
            </w:pPr>
            <w:r>
              <w:rPr>
                <w:rFonts w:ascii="Times New Roman" w:eastAsia="ThiemeGulliver-Regular" w:hAnsi="Times New Roman" w:cs="Times New Roman"/>
                <w:sz w:val="20"/>
                <w:szCs w:val="20"/>
              </w:rPr>
              <w:t>Hans Konrad Biesalski, Peter Grimm;</w:t>
            </w:r>
            <w:r>
              <w:rPr>
                <w:rFonts w:ascii="Times New Roman" w:eastAsia="ThiemeArgoOne-Bold" w:hAnsi="Times New Roman" w:cs="Times New Roman"/>
                <w:bCs/>
                <w:sz w:val="20"/>
                <w:szCs w:val="20"/>
              </w:rPr>
              <w:t xml:space="preserve"> Pocket Atlas of Nutrition,</w:t>
            </w:r>
            <w:r>
              <w:rPr>
                <w:rFonts w:ascii="Times New Roman" w:eastAsia="ThiemeGulliver-Regular" w:hAnsi="Times New Roman" w:cs="Times New Roman"/>
                <w:sz w:val="20"/>
                <w:szCs w:val="20"/>
              </w:rPr>
              <w:t xml:space="preserve"> Thieme, Stuttgart -New York, 2006.</w:t>
            </w:r>
          </w:p>
          <w:p w14:paraId="696339C6" w14:textId="77777777" w:rsidR="000C27F6" w:rsidRDefault="000C27F6" w:rsidP="00E433D8">
            <w:pPr>
              <w:numPr>
                <w:ilvl w:val="0"/>
                <w:numId w:val="1"/>
              </w:num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Sullivan, Robert J. 2004:, Digestion and nutrition, Chelsea House, New York, USA.</w:t>
            </w:r>
          </w:p>
          <w:p w14:paraId="1EAC4C3B" w14:textId="77777777" w:rsidR="000C27F6" w:rsidRDefault="000C27F6" w:rsidP="00E433D8">
            <w:pPr>
              <w:numPr>
                <w:ilvl w:val="0"/>
                <w:numId w:val="1"/>
              </w:num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Ronzio Robert., 2003:, </w:t>
            </w:r>
            <w:r>
              <w:rPr>
                <w:rFonts w:ascii="Times New Roman" w:eastAsia="Calibri" w:hAnsi="Times New Roman" w:cs="Times New Roman"/>
                <w:bCs/>
                <w:sz w:val="20"/>
                <w:szCs w:val="20"/>
              </w:rPr>
              <w:t>The Encyclopedia of Nutrition and Good Health, Second Edition, New York.</w:t>
            </w:r>
          </w:p>
        </w:tc>
      </w:tr>
      <w:tr w:rsidR="000C27F6" w14:paraId="19EFEE96" w14:textId="77777777" w:rsidTr="000C27F6">
        <w:tc>
          <w:tcPr>
            <w:tcW w:w="2274" w:type="dxa"/>
            <w:tcBorders>
              <w:top w:val="single" w:sz="4" w:space="0" w:color="7F7F7F"/>
              <w:left w:val="single" w:sz="4" w:space="0" w:color="7F7F7F"/>
              <w:bottom w:val="single" w:sz="4" w:space="0" w:color="7F7F7F"/>
              <w:right w:val="nil"/>
            </w:tcBorders>
            <w:shd w:val="clear" w:color="auto" w:fill="D9E2F3"/>
            <w:vAlign w:val="center"/>
            <w:hideMark/>
          </w:tcPr>
          <w:p w14:paraId="22838314" w14:textId="77777777" w:rsidR="000C27F6" w:rsidRDefault="000C27F6" w:rsidP="00E433D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Contact</w:t>
            </w:r>
          </w:p>
        </w:tc>
        <w:tc>
          <w:tcPr>
            <w:tcW w:w="7914" w:type="dxa"/>
            <w:gridSpan w:val="4"/>
            <w:tcBorders>
              <w:top w:val="single" w:sz="4" w:space="0" w:color="7F7F7F"/>
              <w:left w:val="nil"/>
              <w:bottom w:val="single" w:sz="4" w:space="0" w:color="7F7F7F"/>
              <w:right w:val="single" w:sz="4" w:space="0" w:color="7F7F7F"/>
            </w:tcBorders>
          </w:tcPr>
          <w:p w14:paraId="2A4848B2" w14:textId="77777777" w:rsidR="000C27F6" w:rsidRDefault="000C27F6" w:rsidP="00E433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Laura.binxhija@ubt-uni.net</w:t>
            </w:r>
          </w:p>
          <w:p w14:paraId="32199182" w14:textId="77777777" w:rsidR="000C27F6" w:rsidRDefault="000C27F6" w:rsidP="00E433D8">
            <w:pPr>
              <w:spacing w:after="0" w:line="240" w:lineRule="auto"/>
              <w:rPr>
                <w:rFonts w:ascii="Times New Roman" w:eastAsia="Calibri" w:hAnsi="Times New Roman" w:cs="Times New Roman"/>
                <w:sz w:val="20"/>
                <w:szCs w:val="20"/>
              </w:rPr>
            </w:pPr>
          </w:p>
        </w:tc>
      </w:tr>
    </w:tbl>
    <w:p w14:paraId="6C211362"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M-Book">
    <w:altName w:val="MS Mincho"/>
    <w:panose1 w:val="00000000000000000000"/>
    <w:charset w:val="80"/>
    <w:family w:val="auto"/>
    <w:notTrueType/>
    <w:pitch w:val="default"/>
    <w:sig w:usb0="00000001" w:usb1="08070000" w:usb2="00000010" w:usb3="00000000" w:csb0="00020000" w:csb1="00000000"/>
  </w:font>
  <w:font w:name="ThiemeGulliver-Regular">
    <w:altName w:val="MS Mincho"/>
    <w:panose1 w:val="00000000000000000000"/>
    <w:charset w:val="80"/>
    <w:family w:val="auto"/>
    <w:notTrueType/>
    <w:pitch w:val="default"/>
    <w:sig w:usb0="00000001" w:usb1="08070000" w:usb2="00000010" w:usb3="00000000" w:csb0="00020000" w:csb1="00000000"/>
  </w:font>
  <w:font w:name="ThiemeArgoOne-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FD5389"/>
    <w:multiLevelType w:val="hybridMultilevel"/>
    <w:tmpl w:val="14EE6790"/>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9766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13"/>
    <w:rsid w:val="000C27F6"/>
    <w:rsid w:val="002F71EA"/>
    <w:rsid w:val="00F00D13"/>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19322-5F23-4A79-9980-D134879E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F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0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2024-03-28T14:12:00Z</dcterms:created>
  <dcterms:modified xsi:type="dcterms:W3CDTF">2024-03-28T14:12:00Z</dcterms:modified>
</cp:coreProperties>
</file>